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225E7" w14:paraId="4839776D" w14:textId="77777777" w:rsidTr="00EC6E37">
        <w:trPr>
          <w:trHeight w:val="370"/>
        </w:trPr>
        <w:tc>
          <w:tcPr>
            <w:tcW w:w="9639" w:type="dxa"/>
            <w:tcBorders>
              <w:top w:val="single" w:sz="4" w:space="0" w:color="161A48"/>
              <w:bottom w:val="single" w:sz="18" w:space="0" w:color="161A48"/>
            </w:tcBorders>
          </w:tcPr>
          <w:p w14:paraId="02927905" w14:textId="77777777" w:rsidR="000225E7" w:rsidRDefault="000225E7" w:rsidP="00EC6E37">
            <w:pPr>
              <w:pStyle w:val="tvar"/>
              <w:spacing w:before="120" w:after="120"/>
              <w:ind w:left="-109"/>
            </w:pPr>
            <w:r>
              <w:t>Rada pro výzkum, vývoj a inovace</w:t>
            </w:r>
          </w:p>
        </w:tc>
      </w:tr>
    </w:tbl>
    <w:p w14:paraId="77F6AE72" w14:textId="77777777" w:rsidR="000225E7" w:rsidRDefault="000225E7" w:rsidP="00B8091F">
      <w:pPr>
        <w:pBdr>
          <w:bottom w:val="single" w:sz="6" w:space="1" w:color="auto"/>
        </w:pBdr>
        <w:spacing w:after="240"/>
        <w:jc w:val="center"/>
        <w:rPr>
          <w:rFonts w:ascii="Arial" w:hAnsi="Arial" w:cs="Arial"/>
          <w:b/>
          <w:color w:val="0070C0"/>
          <w:sz w:val="28"/>
          <w:szCs w:val="28"/>
        </w:rPr>
      </w:pPr>
    </w:p>
    <w:p w14:paraId="3C7C9D24" w14:textId="77777777" w:rsidR="00FE7480" w:rsidRDefault="00BD5E6B" w:rsidP="00FE7480">
      <w:pPr>
        <w:pBdr>
          <w:bottom w:val="single" w:sz="6" w:space="1" w:color="auto"/>
        </w:pBdr>
        <w:jc w:val="center"/>
        <w:rPr>
          <w:rFonts w:ascii="Arial" w:hAnsi="Arial" w:cs="Arial"/>
          <w:b/>
          <w:color w:val="0070C0"/>
          <w:sz w:val="28"/>
          <w:szCs w:val="28"/>
        </w:rPr>
      </w:pPr>
      <w:r w:rsidRPr="008C5426">
        <w:rPr>
          <w:rFonts w:ascii="Arial" w:hAnsi="Arial" w:cs="Arial"/>
          <w:b/>
          <w:color w:val="0070C0"/>
          <w:sz w:val="28"/>
          <w:szCs w:val="28"/>
        </w:rPr>
        <w:t xml:space="preserve">Stanovisko Rady pro výzkum, vývoj a inovace </w:t>
      </w:r>
    </w:p>
    <w:p w14:paraId="7EA57D50" w14:textId="3465AF90" w:rsidR="001E1D3D" w:rsidRPr="001E1D3D" w:rsidRDefault="007B04D9" w:rsidP="007B04D9">
      <w:pPr>
        <w:pBdr>
          <w:bottom w:val="single" w:sz="6" w:space="1" w:color="auto"/>
        </w:pBdr>
        <w:spacing w:after="240"/>
        <w:jc w:val="center"/>
        <w:rPr>
          <w:b/>
          <w:color w:val="0070C0"/>
        </w:rPr>
      </w:pPr>
      <w:r w:rsidRPr="007B04D9">
        <w:rPr>
          <w:rFonts w:ascii="Arial" w:hAnsi="Arial" w:cs="Arial"/>
          <w:b/>
          <w:color w:val="0070C0"/>
          <w:sz w:val="28"/>
          <w:szCs w:val="28"/>
        </w:rPr>
        <w:t xml:space="preserve">ke </w:t>
      </w:r>
      <w:r w:rsidR="00FE7480" w:rsidRPr="00FE7480">
        <w:rPr>
          <w:rFonts w:ascii="Arial" w:hAnsi="Arial" w:cs="Arial"/>
          <w:b/>
          <w:color w:val="0070C0"/>
          <w:sz w:val="28"/>
          <w:szCs w:val="28"/>
        </w:rPr>
        <w:t>Společné</w:t>
      </w:r>
      <w:r w:rsidR="00FE7480">
        <w:rPr>
          <w:rFonts w:ascii="Arial" w:hAnsi="Arial" w:cs="Arial"/>
          <w:b/>
          <w:color w:val="0070C0"/>
          <w:sz w:val="28"/>
          <w:szCs w:val="28"/>
        </w:rPr>
        <w:t xml:space="preserve">mu </w:t>
      </w:r>
      <w:r w:rsidR="00FE7480" w:rsidRPr="00FE7480">
        <w:rPr>
          <w:rFonts w:ascii="Arial" w:hAnsi="Arial" w:cs="Arial"/>
          <w:b/>
          <w:color w:val="0070C0"/>
          <w:sz w:val="28"/>
          <w:szCs w:val="28"/>
        </w:rPr>
        <w:t>stanovisk</w:t>
      </w:r>
      <w:r w:rsidR="00FE7480">
        <w:rPr>
          <w:rFonts w:ascii="Arial" w:hAnsi="Arial" w:cs="Arial"/>
          <w:b/>
          <w:color w:val="0070C0"/>
          <w:sz w:val="28"/>
          <w:szCs w:val="28"/>
        </w:rPr>
        <w:t>u</w:t>
      </w:r>
      <w:r w:rsidR="00FE7480" w:rsidRPr="00FE7480">
        <w:rPr>
          <w:rFonts w:ascii="Arial" w:hAnsi="Arial" w:cs="Arial"/>
          <w:b/>
          <w:color w:val="0070C0"/>
          <w:sz w:val="28"/>
          <w:szCs w:val="28"/>
        </w:rPr>
        <w:t xml:space="preserve"> Grantové agentury České republiky a</w:t>
      </w:r>
      <w:r w:rsidR="00FE7480">
        <w:rPr>
          <w:rFonts w:ascii="Arial" w:hAnsi="Arial" w:cs="Arial"/>
          <w:b/>
          <w:color w:val="0070C0"/>
          <w:sz w:val="28"/>
          <w:szCs w:val="28"/>
        </w:rPr>
        <w:t> </w:t>
      </w:r>
      <w:r w:rsidR="00FE7480" w:rsidRPr="00FE7480">
        <w:rPr>
          <w:rFonts w:ascii="Arial" w:hAnsi="Arial" w:cs="Arial"/>
          <w:b/>
          <w:color w:val="0070C0"/>
          <w:sz w:val="28"/>
          <w:szCs w:val="28"/>
        </w:rPr>
        <w:t>Technologické agentury České republiky ve věci Kontrolního závěru Nejvyššího kontrolního úřadu z kontrolní akce č. 24/17 „Peněžní prostředky určené na účelovou podporu výzkumu, vývoje a inovací prostřednictvím rozpočtových kapitol Grantová agentura České republiky a Technologická agentura České republiky“</w:t>
      </w:r>
    </w:p>
    <w:p w14:paraId="5EF74533" w14:textId="77777777" w:rsidR="00151EB4" w:rsidRDefault="00151EB4" w:rsidP="009E1B16">
      <w:pPr>
        <w:spacing w:after="120"/>
        <w:ind w:firstLine="708"/>
        <w:jc w:val="both"/>
        <w:rPr>
          <w:rFonts w:ascii="Arial" w:hAnsi="Arial" w:cs="Arial"/>
          <w:b/>
          <w:color w:val="0070C0"/>
        </w:rPr>
      </w:pPr>
    </w:p>
    <w:p w14:paraId="58D71569" w14:textId="00CAAD64" w:rsidR="009E1B16" w:rsidRPr="00FE7480" w:rsidRDefault="009E1B16" w:rsidP="00FE7480">
      <w:pPr>
        <w:pStyle w:val="Normalodsazen"/>
        <w:keepNext/>
        <w:numPr>
          <w:ilvl w:val="0"/>
          <w:numId w:val="21"/>
        </w:numPr>
        <w:spacing w:after="120" w:line="240" w:lineRule="auto"/>
        <w:ind w:left="1077" w:hanging="357"/>
        <w:rPr>
          <w:b/>
          <w:color w:val="0070C0"/>
          <w:sz w:val="24"/>
        </w:rPr>
      </w:pPr>
      <w:r w:rsidRPr="00FE7480">
        <w:rPr>
          <w:b/>
          <w:color w:val="0070C0"/>
          <w:sz w:val="24"/>
        </w:rPr>
        <w:t xml:space="preserve">Způsob předložení </w:t>
      </w:r>
      <w:r w:rsidR="00FE7480" w:rsidRPr="00FE7480">
        <w:rPr>
          <w:b/>
          <w:color w:val="0070C0"/>
          <w:sz w:val="24"/>
        </w:rPr>
        <w:t>materiálu</w:t>
      </w:r>
    </w:p>
    <w:p w14:paraId="31F7DAFC" w14:textId="5190434C" w:rsidR="00973115" w:rsidRPr="00973115" w:rsidRDefault="00973115" w:rsidP="00973115">
      <w:pPr>
        <w:spacing w:after="120"/>
        <w:jc w:val="both"/>
        <w:rPr>
          <w:rFonts w:ascii="Arial" w:hAnsi="Arial" w:cs="Arial"/>
          <w:szCs w:val="22"/>
        </w:rPr>
      </w:pPr>
      <w:r w:rsidRPr="00973115">
        <w:rPr>
          <w:rFonts w:ascii="Arial" w:hAnsi="Arial" w:cs="Arial"/>
          <w:szCs w:val="22"/>
        </w:rPr>
        <w:t xml:space="preserve">Radě pro výzkum, vývoj a inovace (dále jen „Rada“) se předkládá </w:t>
      </w:r>
      <w:r w:rsidR="00FE7480" w:rsidRPr="002211DE">
        <w:rPr>
          <w:rFonts w:ascii="Arial" w:hAnsi="Arial" w:cs="Arial"/>
          <w:i/>
          <w:iCs/>
          <w:szCs w:val="22"/>
        </w:rPr>
        <w:t>S</w:t>
      </w:r>
      <w:r w:rsidRPr="002211DE">
        <w:rPr>
          <w:rFonts w:ascii="Arial" w:hAnsi="Arial" w:cs="Arial"/>
          <w:i/>
          <w:iCs/>
          <w:szCs w:val="22"/>
        </w:rPr>
        <w:t xml:space="preserve">polečné stanovisko Grantové agentury České republiky a Technologické agentury České republiky </w:t>
      </w:r>
      <w:r w:rsidR="00055FCE">
        <w:rPr>
          <w:rFonts w:ascii="Arial" w:hAnsi="Arial" w:cs="Arial"/>
          <w:i/>
          <w:iCs/>
          <w:szCs w:val="22"/>
        </w:rPr>
        <w:t>ve věci</w:t>
      </w:r>
      <w:r w:rsidR="002211DE">
        <w:rPr>
          <w:rFonts w:ascii="Arial" w:hAnsi="Arial" w:cs="Arial"/>
          <w:i/>
          <w:iCs/>
          <w:szCs w:val="22"/>
        </w:rPr>
        <w:t> </w:t>
      </w:r>
      <w:r w:rsidR="00055FCE">
        <w:rPr>
          <w:rFonts w:ascii="Arial" w:hAnsi="Arial" w:cs="Arial"/>
          <w:i/>
          <w:iCs/>
          <w:szCs w:val="22"/>
        </w:rPr>
        <w:t>K</w:t>
      </w:r>
      <w:r w:rsidRPr="002211DE">
        <w:rPr>
          <w:rFonts w:ascii="Arial" w:hAnsi="Arial" w:cs="Arial"/>
          <w:i/>
          <w:iCs/>
          <w:szCs w:val="22"/>
        </w:rPr>
        <w:t>ontrolní</w:t>
      </w:r>
      <w:r w:rsidR="00A447C2">
        <w:rPr>
          <w:rFonts w:ascii="Arial" w:hAnsi="Arial" w:cs="Arial"/>
          <w:i/>
          <w:iCs/>
          <w:szCs w:val="22"/>
        </w:rPr>
        <w:t>ho</w:t>
      </w:r>
      <w:r w:rsidRPr="002211DE">
        <w:rPr>
          <w:rFonts w:ascii="Arial" w:hAnsi="Arial" w:cs="Arial"/>
          <w:i/>
          <w:iCs/>
          <w:szCs w:val="22"/>
        </w:rPr>
        <w:t xml:space="preserve"> závěru Nejvyššího kontrolního úřadu „Peněžní prostředky určené na</w:t>
      </w:r>
      <w:r w:rsidR="002211DE">
        <w:rPr>
          <w:rFonts w:ascii="Arial" w:hAnsi="Arial" w:cs="Arial"/>
          <w:i/>
          <w:iCs/>
          <w:szCs w:val="22"/>
        </w:rPr>
        <w:t> </w:t>
      </w:r>
      <w:r w:rsidRPr="002211DE">
        <w:rPr>
          <w:rFonts w:ascii="Arial" w:hAnsi="Arial" w:cs="Arial"/>
          <w:i/>
          <w:iCs/>
          <w:szCs w:val="22"/>
        </w:rPr>
        <w:t>účelovou podporu výzkumu, vývoje a inovací prostřednictvím rozpočtových kapitol Grantová agentura České republiky a</w:t>
      </w:r>
      <w:r w:rsidR="00FE7480" w:rsidRPr="002211DE">
        <w:rPr>
          <w:rFonts w:ascii="Arial" w:hAnsi="Arial" w:cs="Arial"/>
          <w:i/>
          <w:iCs/>
          <w:szCs w:val="22"/>
        </w:rPr>
        <w:t> </w:t>
      </w:r>
      <w:r w:rsidRPr="002211DE">
        <w:rPr>
          <w:rFonts w:ascii="Arial" w:hAnsi="Arial" w:cs="Arial"/>
          <w:i/>
          <w:iCs/>
          <w:szCs w:val="22"/>
        </w:rPr>
        <w:t>Technologická agentura České republiky“</w:t>
      </w:r>
      <w:r w:rsidR="002211DE">
        <w:rPr>
          <w:rFonts w:ascii="Arial" w:hAnsi="Arial" w:cs="Arial"/>
          <w:szCs w:val="22"/>
        </w:rPr>
        <w:t xml:space="preserve"> (dále</w:t>
      </w:r>
      <w:r w:rsidR="00055FCE">
        <w:rPr>
          <w:rFonts w:ascii="Arial" w:hAnsi="Arial" w:cs="Arial"/>
          <w:szCs w:val="22"/>
        </w:rPr>
        <w:t> </w:t>
      </w:r>
      <w:r w:rsidR="002211DE">
        <w:rPr>
          <w:rFonts w:ascii="Arial" w:hAnsi="Arial" w:cs="Arial"/>
          <w:szCs w:val="22"/>
        </w:rPr>
        <w:t>jen „Společné stanovisko“)</w:t>
      </w:r>
      <w:r w:rsidRPr="00973115">
        <w:rPr>
          <w:rFonts w:ascii="Arial" w:hAnsi="Arial" w:cs="Arial"/>
          <w:szCs w:val="22"/>
        </w:rPr>
        <w:t>.</w:t>
      </w:r>
    </w:p>
    <w:p w14:paraId="0C98B337" w14:textId="0BAE790D" w:rsidR="00973115" w:rsidRPr="00973115" w:rsidRDefault="00973115" w:rsidP="00973115">
      <w:pPr>
        <w:spacing w:after="120"/>
        <w:jc w:val="both"/>
        <w:rPr>
          <w:rFonts w:ascii="Arial" w:hAnsi="Arial" w:cs="Arial"/>
          <w:szCs w:val="22"/>
        </w:rPr>
      </w:pPr>
      <w:r w:rsidRPr="00973115">
        <w:rPr>
          <w:rFonts w:ascii="Arial" w:hAnsi="Arial" w:cs="Arial"/>
          <w:szCs w:val="22"/>
        </w:rPr>
        <w:t xml:space="preserve">Předseda vlády prof. PhDr. Petr Fiala, Ph.D., LL.M. požádal dopisem č. j. 29236-2025-UVCR ze dne 31. července 2025 o předložení materiálu pro jednání vlády ve věci Kontrolního závěru Nejvyššího kontrolního úřadu (dále jen „NKÚ“) z </w:t>
      </w:r>
      <w:r w:rsidR="00055FCE">
        <w:rPr>
          <w:rFonts w:ascii="Arial" w:hAnsi="Arial" w:cs="Arial"/>
          <w:szCs w:val="22"/>
        </w:rPr>
        <w:t>k</w:t>
      </w:r>
      <w:r w:rsidRPr="00973115">
        <w:rPr>
          <w:rFonts w:ascii="Arial" w:hAnsi="Arial" w:cs="Arial"/>
          <w:szCs w:val="22"/>
        </w:rPr>
        <w:t>ontrolní akce č.</w:t>
      </w:r>
      <w:r w:rsidR="00FE7480">
        <w:rPr>
          <w:rFonts w:ascii="Arial" w:hAnsi="Arial" w:cs="Arial"/>
          <w:szCs w:val="22"/>
        </w:rPr>
        <w:t> </w:t>
      </w:r>
      <w:r w:rsidRPr="00973115">
        <w:rPr>
          <w:rFonts w:ascii="Arial" w:hAnsi="Arial" w:cs="Arial"/>
          <w:szCs w:val="22"/>
        </w:rPr>
        <w:t xml:space="preserve">24/17 </w:t>
      </w:r>
      <w:r w:rsidRPr="002211DE">
        <w:rPr>
          <w:rFonts w:ascii="Arial" w:hAnsi="Arial" w:cs="Arial"/>
          <w:i/>
          <w:iCs/>
          <w:szCs w:val="22"/>
        </w:rPr>
        <w:t>„Peněžní prostředky určené na účelovou podporu výzkumu, vývoje a inovací prostřednictvím rozpočtových kapitol Grantová agentura České republiky a</w:t>
      </w:r>
      <w:r w:rsidR="00FE7480" w:rsidRPr="002211DE">
        <w:rPr>
          <w:rFonts w:ascii="Arial" w:hAnsi="Arial" w:cs="Arial"/>
          <w:i/>
          <w:iCs/>
          <w:szCs w:val="22"/>
        </w:rPr>
        <w:t> </w:t>
      </w:r>
      <w:r w:rsidRPr="002211DE">
        <w:rPr>
          <w:rFonts w:ascii="Arial" w:hAnsi="Arial" w:cs="Arial"/>
          <w:i/>
          <w:iCs/>
          <w:szCs w:val="22"/>
        </w:rPr>
        <w:t>Technologická agentura České republiky“</w:t>
      </w:r>
      <w:r w:rsidRPr="00973115">
        <w:rPr>
          <w:rFonts w:ascii="Arial" w:hAnsi="Arial" w:cs="Arial"/>
          <w:szCs w:val="22"/>
        </w:rPr>
        <w:t xml:space="preserve">, který Kolegium NKÚ schválilo usnesením č. 7/VII/2025 na svém VII. jednání dne 19. května 2025. </w:t>
      </w:r>
    </w:p>
    <w:p w14:paraId="59200B43" w14:textId="54FB7D4B" w:rsidR="00973115" w:rsidRPr="00973115" w:rsidRDefault="00973115" w:rsidP="00973115">
      <w:pPr>
        <w:spacing w:after="120"/>
        <w:jc w:val="both"/>
        <w:rPr>
          <w:rFonts w:ascii="Arial" w:hAnsi="Arial" w:cs="Arial"/>
          <w:szCs w:val="22"/>
        </w:rPr>
      </w:pPr>
      <w:r w:rsidRPr="00973115">
        <w:rPr>
          <w:rFonts w:ascii="Arial" w:hAnsi="Arial" w:cs="Arial"/>
          <w:szCs w:val="22"/>
        </w:rPr>
        <w:t xml:space="preserve">Žádost o stanovisko </w:t>
      </w:r>
      <w:r w:rsidR="002211DE" w:rsidRPr="00973115">
        <w:rPr>
          <w:rFonts w:ascii="Arial" w:hAnsi="Arial" w:cs="Arial"/>
          <w:szCs w:val="22"/>
        </w:rPr>
        <w:t>Grantové agentury České republiky (dále jen „GAČR“)</w:t>
      </w:r>
      <w:r w:rsidRPr="00973115">
        <w:rPr>
          <w:rFonts w:ascii="Arial" w:hAnsi="Arial" w:cs="Arial"/>
          <w:szCs w:val="22"/>
        </w:rPr>
        <w:t xml:space="preserve"> byla zaslána dne 7. srpna 2025 předsedovi Grantové agentury České republiky prof. MUDr. Mgr. Milanu Jirsovi, CSc. dopisem vrchní ředitelky Mgr. Dany Bilíkové č. j. 30131-2025-UVCR, a předsedovi </w:t>
      </w:r>
      <w:r w:rsidR="002211DE" w:rsidRPr="00973115">
        <w:rPr>
          <w:rFonts w:ascii="Arial" w:hAnsi="Arial" w:cs="Arial"/>
          <w:szCs w:val="22"/>
        </w:rPr>
        <w:t>Technologické agentury České republiky (dále jen „TA ČR“)</w:t>
      </w:r>
      <w:r w:rsidR="002211DE">
        <w:rPr>
          <w:rFonts w:ascii="Arial" w:hAnsi="Arial" w:cs="Arial"/>
          <w:szCs w:val="22"/>
        </w:rPr>
        <w:t xml:space="preserve"> </w:t>
      </w:r>
      <w:r w:rsidRPr="00973115">
        <w:rPr>
          <w:rFonts w:ascii="Arial" w:hAnsi="Arial" w:cs="Arial"/>
          <w:szCs w:val="22"/>
        </w:rPr>
        <w:t xml:space="preserve">prof. Ing. Petru Konvalinkovi, CSc., </w:t>
      </w:r>
      <w:proofErr w:type="spellStart"/>
      <w:r w:rsidRPr="00973115">
        <w:rPr>
          <w:rFonts w:ascii="Arial" w:hAnsi="Arial" w:cs="Arial"/>
          <w:szCs w:val="22"/>
        </w:rPr>
        <w:t>FEng</w:t>
      </w:r>
      <w:proofErr w:type="spellEnd"/>
      <w:r w:rsidRPr="00973115">
        <w:rPr>
          <w:rFonts w:ascii="Arial" w:hAnsi="Arial" w:cs="Arial"/>
          <w:szCs w:val="22"/>
        </w:rPr>
        <w:t>. dopisem vrchní ředitelky Mgr. Dany Bilíkové č.</w:t>
      </w:r>
      <w:r w:rsidR="002211DE">
        <w:rPr>
          <w:rFonts w:ascii="Arial" w:hAnsi="Arial" w:cs="Arial"/>
          <w:szCs w:val="22"/>
        </w:rPr>
        <w:t> </w:t>
      </w:r>
      <w:r w:rsidRPr="00973115">
        <w:rPr>
          <w:rFonts w:ascii="Arial" w:hAnsi="Arial" w:cs="Arial"/>
          <w:szCs w:val="22"/>
        </w:rPr>
        <w:t>j.</w:t>
      </w:r>
      <w:r w:rsidR="002211DE">
        <w:rPr>
          <w:rFonts w:ascii="Arial" w:hAnsi="Arial" w:cs="Arial"/>
          <w:szCs w:val="22"/>
        </w:rPr>
        <w:t> </w:t>
      </w:r>
      <w:r w:rsidRPr="00973115">
        <w:rPr>
          <w:rFonts w:ascii="Arial" w:hAnsi="Arial" w:cs="Arial"/>
          <w:szCs w:val="22"/>
        </w:rPr>
        <w:t>30126-2025-UVCR dne 7. srpna 2025. Termín pro zaslání odpovědi byl stanoven na 22. srpna 2025.</w:t>
      </w:r>
    </w:p>
    <w:p w14:paraId="2D581794" w14:textId="2B4EB4B5" w:rsidR="0057713F" w:rsidRDefault="00973115" w:rsidP="00973115">
      <w:pPr>
        <w:spacing w:after="120"/>
        <w:jc w:val="both"/>
        <w:rPr>
          <w:rFonts w:ascii="Arial" w:hAnsi="Arial" w:cs="Arial"/>
          <w:szCs w:val="22"/>
        </w:rPr>
      </w:pPr>
      <w:r w:rsidRPr="00973115">
        <w:rPr>
          <w:rFonts w:ascii="Arial" w:hAnsi="Arial" w:cs="Arial"/>
          <w:szCs w:val="22"/>
        </w:rPr>
        <w:t>Stanovisko GA ČR č. j. 73834/2025/GAČR/ES stejně jako stanovisko TA ČR č.</w:t>
      </w:r>
      <w:r w:rsidR="00FE7480">
        <w:rPr>
          <w:rFonts w:ascii="Arial" w:hAnsi="Arial" w:cs="Arial"/>
          <w:szCs w:val="22"/>
        </w:rPr>
        <w:t> </w:t>
      </w:r>
      <w:r w:rsidRPr="00973115">
        <w:rPr>
          <w:rFonts w:ascii="Arial" w:hAnsi="Arial" w:cs="Arial"/>
          <w:szCs w:val="22"/>
        </w:rPr>
        <w:t>j.</w:t>
      </w:r>
      <w:r w:rsidR="00FE7480">
        <w:rPr>
          <w:rFonts w:ascii="Arial" w:hAnsi="Arial" w:cs="Arial"/>
          <w:szCs w:val="22"/>
        </w:rPr>
        <w:t> </w:t>
      </w:r>
      <w:r w:rsidRPr="00973115">
        <w:rPr>
          <w:rFonts w:ascii="Arial" w:hAnsi="Arial" w:cs="Arial"/>
          <w:szCs w:val="22"/>
        </w:rPr>
        <w:t>TACR/2-168/2025 bylo doručeno k rukám vrchní ředitelky Mgr. Dany Bilíkové dne 25. září 2025, a to na základě kladně vyřízené žádosti o posun termínu do 25. září 2025.</w:t>
      </w:r>
    </w:p>
    <w:p w14:paraId="21A9F9AD" w14:textId="77777777" w:rsidR="00D40C12" w:rsidRDefault="00D40C12" w:rsidP="00D40C12">
      <w:pPr>
        <w:spacing w:after="120"/>
        <w:jc w:val="both"/>
        <w:rPr>
          <w:rFonts w:ascii="Arial" w:hAnsi="Arial" w:cs="Arial"/>
          <w:szCs w:val="22"/>
        </w:rPr>
      </w:pPr>
      <w:r w:rsidRPr="00DD32CE">
        <w:rPr>
          <w:rFonts w:ascii="Arial" w:hAnsi="Arial" w:cs="Arial"/>
          <w:szCs w:val="22"/>
        </w:rPr>
        <w:t>Materiál byl rozeslán do připomínkového řízení dne 9. října 2025 s termínem zaslání připomínek do 16. října 2025. V mezirezortním připomínkovém řízení byly uplatněny zásadní</w:t>
      </w:r>
      <w:r>
        <w:rPr>
          <w:rFonts w:ascii="Arial" w:hAnsi="Arial" w:cs="Arial"/>
          <w:szCs w:val="22"/>
        </w:rPr>
        <w:t xml:space="preserve"> připomínky Ministerstva financí a zásadní</w:t>
      </w:r>
      <w:r w:rsidRPr="00DD32CE">
        <w:rPr>
          <w:rFonts w:ascii="Arial" w:hAnsi="Arial" w:cs="Arial"/>
          <w:szCs w:val="22"/>
        </w:rPr>
        <w:t xml:space="preserve"> i doporučující připomínky</w:t>
      </w:r>
      <w:r>
        <w:rPr>
          <w:rFonts w:ascii="Arial" w:hAnsi="Arial" w:cs="Arial"/>
          <w:szCs w:val="22"/>
        </w:rPr>
        <w:t xml:space="preserve"> Nejvyššího kontrolního úřadu</w:t>
      </w:r>
      <w:r w:rsidRPr="00DD32CE">
        <w:rPr>
          <w:rFonts w:ascii="Arial" w:hAnsi="Arial" w:cs="Arial"/>
          <w:szCs w:val="22"/>
        </w:rPr>
        <w:t>.</w:t>
      </w:r>
    </w:p>
    <w:p w14:paraId="10DC1FD1" w14:textId="77777777" w:rsidR="00D40C12" w:rsidRDefault="00D40C12" w:rsidP="00D40C12">
      <w:pPr>
        <w:spacing w:after="120"/>
        <w:jc w:val="both"/>
        <w:rPr>
          <w:rFonts w:ascii="Arial" w:hAnsi="Arial" w:cs="Arial"/>
          <w:szCs w:val="22"/>
        </w:rPr>
      </w:pPr>
      <w:r>
        <w:rPr>
          <w:rFonts w:ascii="Arial" w:hAnsi="Arial" w:cs="Arial"/>
          <w:szCs w:val="22"/>
        </w:rPr>
        <w:t xml:space="preserve">Žádost o reakci na obdržené připomínky byla odeslána </w:t>
      </w:r>
      <w:r w:rsidRPr="00973115">
        <w:rPr>
          <w:rFonts w:ascii="Arial" w:hAnsi="Arial" w:cs="Arial"/>
          <w:szCs w:val="22"/>
        </w:rPr>
        <w:t>předsedovi Grantové agentury České republiky prof. MUDr. Mgr. Milanu Jirsovi, CSc.</w:t>
      </w:r>
      <w:r>
        <w:rPr>
          <w:rFonts w:ascii="Arial" w:hAnsi="Arial" w:cs="Arial"/>
          <w:szCs w:val="22"/>
        </w:rPr>
        <w:t xml:space="preserve"> dopisem </w:t>
      </w:r>
      <w:r w:rsidRPr="00973115">
        <w:rPr>
          <w:rFonts w:ascii="Arial" w:hAnsi="Arial" w:cs="Arial"/>
          <w:szCs w:val="22"/>
        </w:rPr>
        <w:t>vrchní ředitelky Mgr.</w:t>
      </w:r>
      <w:r>
        <w:rPr>
          <w:rFonts w:ascii="Arial" w:hAnsi="Arial" w:cs="Arial"/>
          <w:szCs w:val="22"/>
        </w:rPr>
        <w:t> </w:t>
      </w:r>
      <w:r w:rsidRPr="00973115">
        <w:rPr>
          <w:rFonts w:ascii="Arial" w:hAnsi="Arial" w:cs="Arial"/>
          <w:szCs w:val="22"/>
        </w:rPr>
        <w:t>Dany Bilíkové</w:t>
      </w:r>
      <w:r>
        <w:rPr>
          <w:rFonts w:ascii="Arial" w:hAnsi="Arial" w:cs="Arial"/>
          <w:szCs w:val="22"/>
        </w:rPr>
        <w:t xml:space="preserve"> č.j. 41148-2025-UVCR dne 17. října 2025 </w:t>
      </w:r>
      <w:r w:rsidRPr="00973115">
        <w:rPr>
          <w:rFonts w:ascii="Arial" w:hAnsi="Arial" w:cs="Arial"/>
          <w:szCs w:val="22"/>
        </w:rPr>
        <w:t xml:space="preserve">a předsedovi </w:t>
      </w:r>
      <w:r w:rsidRPr="00973115">
        <w:rPr>
          <w:rFonts w:ascii="Arial" w:hAnsi="Arial" w:cs="Arial"/>
          <w:szCs w:val="22"/>
        </w:rPr>
        <w:lastRenderedPageBreak/>
        <w:t xml:space="preserve">Technologické agentury České republiky prof. Ing. Petru Konvalinkovi, CSc., </w:t>
      </w:r>
      <w:proofErr w:type="spellStart"/>
      <w:r w:rsidRPr="00973115">
        <w:rPr>
          <w:rFonts w:ascii="Arial" w:hAnsi="Arial" w:cs="Arial"/>
          <w:szCs w:val="22"/>
        </w:rPr>
        <w:t>FEng</w:t>
      </w:r>
      <w:proofErr w:type="spellEnd"/>
      <w:r w:rsidRPr="00973115">
        <w:rPr>
          <w:rFonts w:ascii="Arial" w:hAnsi="Arial" w:cs="Arial"/>
          <w:szCs w:val="22"/>
        </w:rPr>
        <w:t>. dopisem vrchní ředitelky Mgr. Dany Bilíkové č. j.</w:t>
      </w:r>
      <w:r>
        <w:rPr>
          <w:rFonts w:ascii="Arial" w:hAnsi="Arial" w:cs="Arial"/>
          <w:szCs w:val="22"/>
        </w:rPr>
        <w:t xml:space="preserve"> 41144-2025-UVCR dne 17. října 2025.</w:t>
      </w:r>
    </w:p>
    <w:p w14:paraId="16AF8F36" w14:textId="77777777" w:rsidR="00D40C12" w:rsidRDefault="00D40C12" w:rsidP="00D40C12">
      <w:pPr>
        <w:spacing w:after="120"/>
        <w:jc w:val="both"/>
        <w:rPr>
          <w:rFonts w:ascii="Arial" w:hAnsi="Arial" w:cs="Arial"/>
          <w:szCs w:val="22"/>
        </w:rPr>
      </w:pPr>
      <w:r>
        <w:rPr>
          <w:rFonts w:ascii="Arial" w:hAnsi="Arial" w:cs="Arial"/>
          <w:szCs w:val="22"/>
        </w:rPr>
        <w:t>Doplněné společné s</w:t>
      </w:r>
      <w:r w:rsidRPr="00142287">
        <w:rPr>
          <w:rFonts w:ascii="Arial" w:hAnsi="Arial" w:cs="Arial"/>
          <w:szCs w:val="22"/>
        </w:rPr>
        <w:t xml:space="preserve">tanovisko GA ČR </w:t>
      </w:r>
      <w:r>
        <w:rPr>
          <w:rFonts w:ascii="Arial" w:hAnsi="Arial" w:cs="Arial"/>
          <w:szCs w:val="22"/>
        </w:rPr>
        <w:t>a</w:t>
      </w:r>
      <w:r w:rsidRPr="00142287">
        <w:rPr>
          <w:rFonts w:ascii="Arial" w:hAnsi="Arial" w:cs="Arial"/>
          <w:szCs w:val="22"/>
        </w:rPr>
        <w:t xml:space="preserve"> TA ČR č. j. TACR/2-1</w:t>
      </w:r>
      <w:r>
        <w:rPr>
          <w:rFonts w:ascii="Arial" w:hAnsi="Arial" w:cs="Arial"/>
          <w:szCs w:val="22"/>
        </w:rPr>
        <w:t>99</w:t>
      </w:r>
      <w:r w:rsidRPr="00142287">
        <w:rPr>
          <w:rFonts w:ascii="Arial" w:hAnsi="Arial" w:cs="Arial"/>
          <w:szCs w:val="22"/>
        </w:rPr>
        <w:t>/2025 bylo doručeno k rukám vrchní ředitelky Mgr. Dany Bilíkové dne 2</w:t>
      </w:r>
      <w:r>
        <w:rPr>
          <w:rFonts w:ascii="Arial" w:hAnsi="Arial" w:cs="Arial"/>
          <w:szCs w:val="22"/>
        </w:rPr>
        <w:t>3</w:t>
      </w:r>
      <w:r w:rsidRPr="00142287">
        <w:rPr>
          <w:rFonts w:ascii="Arial" w:hAnsi="Arial" w:cs="Arial"/>
          <w:szCs w:val="22"/>
        </w:rPr>
        <w:t xml:space="preserve">. </w:t>
      </w:r>
      <w:r>
        <w:rPr>
          <w:rFonts w:ascii="Arial" w:hAnsi="Arial" w:cs="Arial"/>
          <w:szCs w:val="22"/>
        </w:rPr>
        <w:t>října</w:t>
      </w:r>
      <w:r w:rsidRPr="00142287">
        <w:rPr>
          <w:rFonts w:ascii="Arial" w:hAnsi="Arial" w:cs="Arial"/>
          <w:szCs w:val="22"/>
        </w:rPr>
        <w:t xml:space="preserve"> 2025</w:t>
      </w:r>
      <w:r>
        <w:rPr>
          <w:rFonts w:ascii="Arial" w:hAnsi="Arial" w:cs="Arial"/>
          <w:szCs w:val="22"/>
        </w:rPr>
        <w:t>.</w:t>
      </w:r>
    </w:p>
    <w:p w14:paraId="6F86CE6C" w14:textId="77777777" w:rsidR="00D40C12" w:rsidRDefault="00D40C12" w:rsidP="00973115">
      <w:pPr>
        <w:spacing w:after="120"/>
        <w:jc w:val="both"/>
        <w:rPr>
          <w:rFonts w:ascii="Arial" w:hAnsi="Arial" w:cs="Arial"/>
          <w:szCs w:val="22"/>
        </w:rPr>
      </w:pPr>
    </w:p>
    <w:p w14:paraId="5C6329CD" w14:textId="77777777" w:rsidR="00973115" w:rsidRDefault="00973115" w:rsidP="00973115">
      <w:pPr>
        <w:spacing w:after="120"/>
        <w:jc w:val="both"/>
        <w:rPr>
          <w:rFonts w:ascii="Arial" w:hAnsi="Arial" w:cs="Arial"/>
          <w:szCs w:val="22"/>
        </w:rPr>
      </w:pPr>
    </w:p>
    <w:p w14:paraId="07C520A7" w14:textId="3DDAD1F0" w:rsidR="0057713F" w:rsidRPr="0057713F" w:rsidRDefault="0057713F" w:rsidP="0057713F">
      <w:pPr>
        <w:pStyle w:val="Normalodsazen"/>
        <w:keepNext/>
        <w:numPr>
          <w:ilvl w:val="0"/>
          <w:numId w:val="21"/>
        </w:numPr>
        <w:spacing w:after="120" w:line="240" w:lineRule="auto"/>
        <w:ind w:left="1077" w:hanging="357"/>
        <w:rPr>
          <w:b/>
          <w:color w:val="0070C0"/>
          <w:sz w:val="24"/>
        </w:rPr>
      </w:pPr>
      <w:r w:rsidRPr="0057713F">
        <w:rPr>
          <w:b/>
          <w:color w:val="0070C0"/>
          <w:sz w:val="24"/>
        </w:rPr>
        <w:t>Stanovisko Rady</w:t>
      </w:r>
    </w:p>
    <w:p w14:paraId="6FF443A0" w14:textId="11BCF5C7" w:rsidR="002211DE" w:rsidRPr="002211DE" w:rsidRDefault="002211DE" w:rsidP="002211DE">
      <w:pPr>
        <w:spacing w:after="120"/>
        <w:jc w:val="both"/>
        <w:rPr>
          <w:rFonts w:ascii="Arial" w:hAnsi="Arial" w:cs="Arial"/>
          <w:szCs w:val="22"/>
        </w:rPr>
      </w:pPr>
      <w:r w:rsidRPr="002211DE">
        <w:rPr>
          <w:rFonts w:ascii="Arial" w:hAnsi="Arial" w:cs="Arial"/>
          <w:szCs w:val="22"/>
        </w:rPr>
        <w:t>Cílem kontroly</w:t>
      </w:r>
      <w:r>
        <w:rPr>
          <w:rFonts w:ascii="Arial" w:hAnsi="Arial" w:cs="Arial"/>
          <w:szCs w:val="22"/>
        </w:rPr>
        <w:t xml:space="preserve"> NKÚ</w:t>
      </w:r>
      <w:r w:rsidRPr="002211DE">
        <w:rPr>
          <w:rFonts w:ascii="Arial" w:hAnsi="Arial" w:cs="Arial"/>
          <w:szCs w:val="22"/>
        </w:rPr>
        <w:t xml:space="preserve"> bylo prověřit, zda </w:t>
      </w:r>
      <w:r w:rsidRPr="00973115">
        <w:rPr>
          <w:rFonts w:ascii="Arial" w:hAnsi="Arial" w:cs="Arial"/>
          <w:szCs w:val="22"/>
        </w:rPr>
        <w:t>GAČR</w:t>
      </w:r>
      <w:r w:rsidRPr="002211DE">
        <w:rPr>
          <w:rFonts w:ascii="Arial" w:hAnsi="Arial" w:cs="Arial"/>
          <w:szCs w:val="22"/>
        </w:rPr>
        <w:t xml:space="preserve"> a</w:t>
      </w:r>
      <w:r>
        <w:rPr>
          <w:rFonts w:ascii="Arial" w:hAnsi="Arial" w:cs="Arial"/>
          <w:szCs w:val="22"/>
        </w:rPr>
        <w:t> </w:t>
      </w:r>
      <w:r w:rsidRPr="00973115">
        <w:rPr>
          <w:rFonts w:ascii="Arial" w:hAnsi="Arial" w:cs="Arial"/>
          <w:szCs w:val="22"/>
        </w:rPr>
        <w:t>TA ČR</w:t>
      </w:r>
      <w:r w:rsidRPr="002211DE">
        <w:rPr>
          <w:rFonts w:ascii="Arial" w:hAnsi="Arial" w:cs="Arial"/>
          <w:szCs w:val="22"/>
        </w:rPr>
        <w:t xml:space="preserve"> vynakládaly peněžní prostředky na podporu výzkumu, vývoje a inovací účelně,</w:t>
      </w:r>
      <w:r>
        <w:rPr>
          <w:rFonts w:ascii="Arial" w:hAnsi="Arial" w:cs="Arial"/>
          <w:szCs w:val="22"/>
        </w:rPr>
        <w:t xml:space="preserve"> </w:t>
      </w:r>
      <w:r w:rsidRPr="002211DE">
        <w:rPr>
          <w:rFonts w:ascii="Arial" w:hAnsi="Arial" w:cs="Arial"/>
          <w:szCs w:val="22"/>
        </w:rPr>
        <w:t>efektivně a v souladu s právními předpisy.</w:t>
      </w:r>
      <w:r>
        <w:rPr>
          <w:rFonts w:ascii="Arial" w:hAnsi="Arial" w:cs="Arial"/>
          <w:szCs w:val="22"/>
        </w:rPr>
        <w:t xml:space="preserve"> </w:t>
      </w:r>
      <w:r w:rsidRPr="002211DE">
        <w:rPr>
          <w:rFonts w:ascii="Arial" w:hAnsi="Arial" w:cs="Arial"/>
          <w:szCs w:val="22"/>
        </w:rPr>
        <w:t>Kontrolovaným obdobím byly roky 2021 až 2023, v případě věcných souvislostí i</w:t>
      </w:r>
      <w:r>
        <w:rPr>
          <w:rFonts w:ascii="Arial" w:hAnsi="Arial" w:cs="Arial"/>
          <w:szCs w:val="22"/>
        </w:rPr>
        <w:t> </w:t>
      </w:r>
      <w:r w:rsidRPr="002211DE">
        <w:rPr>
          <w:rFonts w:ascii="Arial" w:hAnsi="Arial" w:cs="Arial"/>
          <w:szCs w:val="22"/>
        </w:rPr>
        <w:t>období</w:t>
      </w:r>
      <w:r>
        <w:rPr>
          <w:rFonts w:ascii="Arial" w:hAnsi="Arial" w:cs="Arial"/>
          <w:szCs w:val="22"/>
        </w:rPr>
        <w:t xml:space="preserve"> </w:t>
      </w:r>
      <w:r w:rsidRPr="002211DE">
        <w:rPr>
          <w:rFonts w:ascii="Arial" w:hAnsi="Arial" w:cs="Arial"/>
          <w:szCs w:val="22"/>
        </w:rPr>
        <w:t>předcházející či následující.</w:t>
      </w:r>
    </w:p>
    <w:p w14:paraId="7E57D775" w14:textId="08D34B69" w:rsidR="002211DE" w:rsidRDefault="002211DE" w:rsidP="002211DE">
      <w:pPr>
        <w:spacing w:after="120"/>
        <w:jc w:val="both"/>
        <w:rPr>
          <w:rFonts w:ascii="Arial" w:hAnsi="Arial" w:cs="Arial"/>
          <w:szCs w:val="22"/>
        </w:rPr>
      </w:pPr>
      <w:r w:rsidRPr="002211DE">
        <w:rPr>
          <w:rFonts w:ascii="Arial" w:hAnsi="Arial" w:cs="Arial"/>
          <w:szCs w:val="22"/>
        </w:rPr>
        <w:t>Kontrola byla prováděna u kontrolovaných osob v období od července 2024 do března 2025.</w:t>
      </w:r>
    </w:p>
    <w:p w14:paraId="0E9E078A" w14:textId="1663664A" w:rsidR="0030073F" w:rsidRDefault="00637DD5" w:rsidP="001E1D3D">
      <w:pPr>
        <w:spacing w:after="120"/>
        <w:jc w:val="both"/>
        <w:rPr>
          <w:rFonts w:ascii="Arial" w:hAnsi="Arial" w:cs="Arial"/>
          <w:szCs w:val="22"/>
        </w:rPr>
      </w:pPr>
      <w:r w:rsidRPr="00637DD5">
        <w:rPr>
          <w:rFonts w:ascii="Arial" w:hAnsi="Arial" w:cs="Arial"/>
          <w:szCs w:val="22"/>
        </w:rPr>
        <w:t xml:space="preserve">Z výsledků </w:t>
      </w:r>
      <w:r>
        <w:rPr>
          <w:rFonts w:ascii="Arial" w:hAnsi="Arial" w:cs="Arial"/>
          <w:szCs w:val="22"/>
        </w:rPr>
        <w:t xml:space="preserve">kontroly NKÚ </w:t>
      </w:r>
      <w:r w:rsidRPr="00637DD5">
        <w:rPr>
          <w:rFonts w:ascii="Arial" w:hAnsi="Arial" w:cs="Arial"/>
          <w:szCs w:val="22"/>
        </w:rPr>
        <w:t>vyplývá, že obě agentury vybírají projekty transparentně dle předem stanovených kritérií a na základě hodnocení nezávislých expertních posudků, že jejich informační systémy průběžně snižují administrativní náročnost a také že provozní náklady agentur jsou stabilní a nižší než provozní náklady obdobných agentur v zahraničí.</w:t>
      </w:r>
    </w:p>
    <w:p w14:paraId="0158F399" w14:textId="689924D3" w:rsidR="002211DE" w:rsidRDefault="002211DE" w:rsidP="001E1D3D">
      <w:pPr>
        <w:spacing w:after="120"/>
        <w:jc w:val="both"/>
        <w:rPr>
          <w:rFonts w:ascii="Arial" w:hAnsi="Arial" w:cs="Arial"/>
          <w:szCs w:val="22"/>
        </w:rPr>
      </w:pPr>
      <w:r>
        <w:rPr>
          <w:rFonts w:ascii="Arial" w:hAnsi="Arial" w:cs="Arial"/>
          <w:szCs w:val="22"/>
        </w:rPr>
        <w:t>Kontrola NKÚ nicméně konstatovala několik zjištění:</w:t>
      </w:r>
    </w:p>
    <w:p w14:paraId="2E107AA6" w14:textId="3774ABB5"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Podpora zaměřená na aktuální potřeby společnosti je nedostatečná</w:t>
      </w:r>
      <w:r>
        <w:rPr>
          <w:rFonts w:ascii="Arial" w:hAnsi="Arial" w:cs="Arial"/>
          <w:szCs w:val="22"/>
        </w:rPr>
        <w:t>,</w:t>
      </w:r>
    </w:p>
    <w:p w14:paraId="28C618E9" w14:textId="5C330FF6"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Snižující se zapojení soukromého sektoru</w:t>
      </w:r>
      <w:r>
        <w:rPr>
          <w:rFonts w:ascii="Arial" w:hAnsi="Arial" w:cs="Arial"/>
          <w:szCs w:val="22"/>
        </w:rPr>
        <w:t>,</w:t>
      </w:r>
    </w:p>
    <w:p w14:paraId="28C4F365" w14:textId="3A47E95A"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Růst počtu aplikovaných výsledků, pokles počtu patentů</w:t>
      </w:r>
      <w:r>
        <w:rPr>
          <w:rFonts w:ascii="Arial" w:hAnsi="Arial" w:cs="Arial"/>
          <w:szCs w:val="22"/>
        </w:rPr>
        <w:t>,</w:t>
      </w:r>
    </w:p>
    <w:p w14:paraId="096AF10E" w14:textId="0A022DFB"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Reforma systému VaVaI přinesla pouze částečné zjednodušení</w:t>
      </w:r>
      <w:r>
        <w:rPr>
          <w:rFonts w:ascii="Arial" w:hAnsi="Arial" w:cs="Arial"/>
          <w:szCs w:val="22"/>
        </w:rPr>
        <w:t>,</w:t>
      </w:r>
    </w:p>
    <w:p w14:paraId="7D69B381" w14:textId="4DE4D5C3"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Nedostatečná spolupráce mezi agenturami</w:t>
      </w:r>
      <w:r>
        <w:rPr>
          <w:rFonts w:ascii="Arial" w:hAnsi="Arial" w:cs="Arial"/>
          <w:szCs w:val="22"/>
        </w:rPr>
        <w:t>,</w:t>
      </w:r>
    </w:p>
    <w:p w14:paraId="3F3552CB" w14:textId="6D56920F"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Kvalita základního výzkumu roste, ale pomalu</w:t>
      </w:r>
      <w:r>
        <w:rPr>
          <w:rFonts w:ascii="Arial" w:hAnsi="Arial" w:cs="Arial"/>
          <w:szCs w:val="22"/>
        </w:rPr>
        <w:t>,</w:t>
      </w:r>
    </w:p>
    <w:p w14:paraId="600688DE" w14:textId="7E8661E9" w:rsidR="002211DE" w:rsidRDefault="002211DE" w:rsidP="002211DE">
      <w:pPr>
        <w:pStyle w:val="Odstavecseseznamem"/>
        <w:numPr>
          <w:ilvl w:val="0"/>
          <w:numId w:val="34"/>
        </w:numPr>
        <w:spacing w:after="120"/>
        <w:jc w:val="both"/>
        <w:rPr>
          <w:rFonts w:ascii="Arial" w:hAnsi="Arial" w:cs="Arial"/>
          <w:szCs w:val="22"/>
        </w:rPr>
      </w:pPr>
      <w:r w:rsidRPr="002211DE">
        <w:rPr>
          <w:rFonts w:ascii="Arial" w:hAnsi="Arial" w:cs="Arial"/>
          <w:szCs w:val="22"/>
        </w:rPr>
        <w:t>Odstranění nedostatků z předchozích kontrol NKÚ</w:t>
      </w:r>
      <w:r>
        <w:rPr>
          <w:rFonts w:ascii="Arial" w:hAnsi="Arial" w:cs="Arial"/>
          <w:szCs w:val="22"/>
        </w:rPr>
        <w:t>.</w:t>
      </w:r>
    </w:p>
    <w:p w14:paraId="018AE2F3" w14:textId="2B609C32" w:rsidR="002211DE" w:rsidRPr="002211DE" w:rsidRDefault="002211DE" w:rsidP="002211DE">
      <w:pPr>
        <w:spacing w:after="120"/>
        <w:jc w:val="both"/>
        <w:rPr>
          <w:rFonts w:ascii="Arial" w:hAnsi="Arial" w:cs="Arial"/>
          <w:szCs w:val="22"/>
        </w:rPr>
      </w:pPr>
      <w:r w:rsidRPr="005D22E7">
        <w:rPr>
          <w:rFonts w:ascii="Arial" w:hAnsi="Arial" w:cs="Arial"/>
          <w:szCs w:val="22"/>
        </w:rPr>
        <w:t xml:space="preserve">TA ČR </w:t>
      </w:r>
      <w:r>
        <w:rPr>
          <w:rFonts w:ascii="Arial" w:hAnsi="Arial" w:cs="Arial"/>
          <w:szCs w:val="22"/>
        </w:rPr>
        <w:t>a</w:t>
      </w:r>
      <w:r w:rsidRPr="005D22E7">
        <w:rPr>
          <w:rFonts w:ascii="Arial" w:hAnsi="Arial" w:cs="Arial"/>
          <w:szCs w:val="22"/>
        </w:rPr>
        <w:t xml:space="preserve"> GA ČR</w:t>
      </w:r>
      <w:r>
        <w:rPr>
          <w:rFonts w:ascii="Arial" w:hAnsi="Arial" w:cs="Arial"/>
          <w:szCs w:val="22"/>
        </w:rPr>
        <w:t xml:space="preserve"> reagovaly na výše uvede</w:t>
      </w:r>
      <w:r w:rsidR="0084647B">
        <w:rPr>
          <w:rFonts w:ascii="Arial" w:hAnsi="Arial" w:cs="Arial"/>
          <w:szCs w:val="22"/>
        </w:rPr>
        <w:t>ná zjištění ve Společném stanovisku, a to včetně návrhu opatření.</w:t>
      </w:r>
    </w:p>
    <w:p w14:paraId="3CFD69D9" w14:textId="77777777" w:rsidR="002B3766" w:rsidRDefault="002B3766" w:rsidP="001E1D3D">
      <w:pPr>
        <w:spacing w:after="120"/>
        <w:jc w:val="both"/>
        <w:rPr>
          <w:rFonts w:ascii="Arial" w:hAnsi="Arial" w:cs="Arial"/>
          <w:szCs w:val="22"/>
        </w:rPr>
      </w:pPr>
      <w:r w:rsidRPr="002B3766">
        <w:rPr>
          <w:rFonts w:ascii="Arial" w:hAnsi="Arial" w:cs="Arial"/>
          <w:szCs w:val="22"/>
        </w:rPr>
        <w:t xml:space="preserve">GA ČR postupně vytváří podmínky, aby se podpora základního výzkumu ještě více přiblížila potřebám společnosti a zároveň zachovala svou nezastupitelnou roli při rozvoji vědění a budoucích kapacit.  </w:t>
      </w:r>
    </w:p>
    <w:p w14:paraId="226C13DB" w14:textId="78116CD2" w:rsidR="005D22E7" w:rsidRDefault="005D22E7" w:rsidP="001E1D3D">
      <w:pPr>
        <w:spacing w:after="120"/>
        <w:jc w:val="both"/>
        <w:rPr>
          <w:rFonts w:ascii="Arial" w:hAnsi="Arial" w:cs="Arial"/>
          <w:szCs w:val="22"/>
        </w:rPr>
      </w:pPr>
      <w:r w:rsidRPr="005D22E7">
        <w:rPr>
          <w:rFonts w:ascii="Arial" w:hAnsi="Arial" w:cs="Arial"/>
          <w:szCs w:val="22"/>
        </w:rPr>
        <w:t>TA ČR i GA ČR stále více zaměřují na problémy a potřeby společnosti jako celku a</w:t>
      </w:r>
      <w:r w:rsidR="002211DE">
        <w:rPr>
          <w:rFonts w:ascii="Arial" w:hAnsi="Arial" w:cs="Arial"/>
          <w:szCs w:val="22"/>
        </w:rPr>
        <w:t> </w:t>
      </w:r>
      <w:r w:rsidRPr="005D22E7">
        <w:rPr>
          <w:rFonts w:ascii="Arial" w:hAnsi="Arial" w:cs="Arial"/>
          <w:szCs w:val="22"/>
        </w:rPr>
        <w:t xml:space="preserve">snaží se spíše soustředit na řešení tzv. systémových opatření, tedy zásadních nedostatků, které domácí systém VaVaI dlouhodobě vykazuje. </w:t>
      </w:r>
    </w:p>
    <w:p w14:paraId="0EB4BF27" w14:textId="71FFD85D" w:rsidR="0057713F" w:rsidRDefault="00776790" w:rsidP="001E1D3D">
      <w:pPr>
        <w:spacing w:after="120"/>
        <w:jc w:val="both"/>
        <w:rPr>
          <w:rFonts w:ascii="Arial" w:hAnsi="Arial" w:cs="Arial"/>
          <w:szCs w:val="22"/>
        </w:rPr>
      </w:pPr>
      <w:r>
        <w:rPr>
          <w:rFonts w:ascii="Arial" w:hAnsi="Arial" w:cs="Arial"/>
          <w:szCs w:val="22"/>
        </w:rPr>
        <w:t xml:space="preserve">V </w:t>
      </w:r>
      <w:r w:rsidR="0090164E">
        <w:rPr>
          <w:rFonts w:ascii="Arial" w:hAnsi="Arial" w:cs="Arial"/>
          <w:szCs w:val="22"/>
        </w:rPr>
        <w:t>s</w:t>
      </w:r>
      <w:r w:rsidRPr="00776790">
        <w:rPr>
          <w:rFonts w:ascii="Arial" w:hAnsi="Arial" w:cs="Arial"/>
          <w:szCs w:val="22"/>
        </w:rPr>
        <w:t>oučasn</w:t>
      </w:r>
      <w:r w:rsidR="0090164E">
        <w:rPr>
          <w:rFonts w:ascii="Arial" w:hAnsi="Arial" w:cs="Arial"/>
          <w:szCs w:val="22"/>
        </w:rPr>
        <w:t>osti</w:t>
      </w:r>
      <w:r w:rsidRPr="00776790">
        <w:rPr>
          <w:rFonts w:ascii="Arial" w:hAnsi="Arial" w:cs="Arial"/>
          <w:szCs w:val="22"/>
        </w:rPr>
        <w:t xml:space="preserve"> se v celosvětovém a evropském kontextu upouští od důrazu na patentování a například rámcový program EK Horizont Evropa i z důvodu nejrůznějších cest uplatnění výsledků zavedl pojem „zhodnocování znalostí”.</w:t>
      </w:r>
    </w:p>
    <w:p w14:paraId="7D390466" w14:textId="2D21075D" w:rsidR="0090164E" w:rsidRDefault="00DF5FA0" w:rsidP="001E1D3D">
      <w:pPr>
        <w:spacing w:after="120"/>
        <w:jc w:val="both"/>
        <w:rPr>
          <w:rFonts w:ascii="Arial" w:hAnsi="Arial" w:cs="Arial"/>
          <w:szCs w:val="22"/>
        </w:rPr>
      </w:pPr>
      <w:r w:rsidRPr="00DF5FA0">
        <w:rPr>
          <w:rFonts w:ascii="Arial" w:hAnsi="Arial" w:cs="Arial"/>
          <w:szCs w:val="22"/>
        </w:rPr>
        <w:t>Obě agentury jsou vládními agenturami, podléhají tak vládě jako celku a naplňují a</w:t>
      </w:r>
      <w:r w:rsidR="002211DE">
        <w:rPr>
          <w:rFonts w:ascii="Arial" w:hAnsi="Arial" w:cs="Arial"/>
          <w:szCs w:val="22"/>
        </w:rPr>
        <w:t> </w:t>
      </w:r>
      <w:r w:rsidRPr="00DF5FA0">
        <w:rPr>
          <w:rFonts w:ascii="Arial" w:hAnsi="Arial" w:cs="Arial"/>
          <w:szCs w:val="22"/>
        </w:rPr>
        <w:t>realizují národní, či resortní strategické dokumenty.</w:t>
      </w:r>
    </w:p>
    <w:p w14:paraId="7523FC06" w14:textId="00FF7DF9" w:rsidR="00DF5FA0" w:rsidRDefault="00E34F50" w:rsidP="001E1D3D">
      <w:pPr>
        <w:spacing w:after="120"/>
        <w:jc w:val="both"/>
        <w:rPr>
          <w:rFonts w:ascii="Arial" w:hAnsi="Arial" w:cs="Arial"/>
          <w:szCs w:val="22"/>
        </w:rPr>
      </w:pPr>
      <w:r w:rsidRPr="00E34F50">
        <w:rPr>
          <w:rFonts w:ascii="Arial" w:hAnsi="Arial" w:cs="Arial"/>
          <w:szCs w:val="22"/>
        </w:rPr>
        <w:lastRenderedPageBreak/>
        <w:t xml:space="preserve">GA ČR i TA ČR dlouhodobě považují propojení základního a aplikovaného výzkumu za důležité a shodují se, že úzká spolupráce mezi oběma agenturami může významně přispět k lepšímu využití výsledků výzkumu a k posílení inovační výkonnosti </w:t>
      </w:r>
      <w:r w:rsidR="0084647B">
        <w:rPr>
          <w:rFonts w:ascii="Arial" w:hAnsi="Arial" w:cs="Arial"/>
          <w:szCs w:val="22"/>
        </w:rPr>
        <w:t>ČR</w:t>
      </w:r>
      <w:r w:rsidRPr="00E34F50">
        <w:rPr>
          <w:rFonts w:ascii="Arial" w:hAnsi="Arial" w:cs="Arial"/>
          <w:szCs w:val="22"/>
        </w:rPr>
        <w:t>.</w:t>
      </w:r>
    </w:p>
    <w:p w14:paraId="2C71DB8C" w14:textId="2EA3A92E" w:rsidR="00E34F50" w:rsidRDefault="00EF221B" w:rsidP="001E1D3D">
      <w:pPr>
        <w:spacing w:after="120"/>
        <w:jc w:val="both"/>
        <w:rPr>
          <w:rFonts w:ascii="Arial" w:hAnsi="Arial" w:cs="Arial"/>
          <w:szCs w:val="22"/>
        </w:rPr>
      </w:pPr>
      <w:r w:rsidRPr="00EF221B">
        <w:rPr>
          <w:rFonts w:ascii="Arial" w:hAnsi="Arial" w:cs="Arial"/>
          <w:szCs w:val="22"/>
        </w:rPr>
        <w:t xml:space="preserve">GA ČR se stala signatářem </w:t>
      </w:r>
      <w:proofErr w:type="spellStart"/>
      <w:r w:rsidRPr="00EF221B">
        <w:rPr>
          <w:rFonts w:ascii="Arial" w:hAnsi="Arial" w:cs="Arial"/>
          <w:szCs w:val="22"/>
        </w:rPr>
        <w:t>CoARA</w:t>
      </w:r>
      <w:proofErr w:type="spellEnd"/>
      <w:r w:rsidRPr="00EF221B">
        <w:rPr>
          <w:rFonts w:ascii="Arial" w:hAnsi="Arial" w:cs="Arial"/>
          <w:szCs w:val="22"/>
        </w:rPr>
        <w:t xml:space="preserve"> a postupně implementuje reformu hodnocení vědy, což přispěje ke zlepšování kvality výzkumu jak podporovaného GA ČR, tak i v rámci celé ČR.</w:t>
      </w:r>
    </w:p>
    <w:p w14:paraId="65C72C6C" w14:textId="64532BD1" w:rsidR="00EF221B" w:rsidRDefault="0084647B" w:rsidP="001E1D3D">
      <w:pPr>
        <w:spacing w:after="120"/>
        <w:jc w:val="both"/>
        <w:rPr>
          <w:rFonts w:ascii="Arial" w:hAnsi="Arial" w:cs="Arial"/>
          <w:szCs w:val="22"/>
        </w:rPr>
      </w:pPr>
      <w:r w:rsidRPr="005D22E7">
        <w:rPr>
          <w:rFonts w:ascii="Arial" w:hAnsi="Arial" w:cs="Arial"/>
          <w:szCs w:val="22"/>
        </w:rPr>
        <w:t xml:space="preserve">TA ČR </w:t>
      </w:r>
      <w:r>
        <w:rPr>
          <w:rFonts w:ascii="Arial" w:hAnsi="Arial" w:cs="Arial"/>
          <w:szCs w:val="22"/>
        </w:rPr>
        <w:t>a</w:t>
      </w:r>
      <w:r w:rsidRPr="005D22E7">
        <w:rPr>
          <w:rFonts w:ascii="Arial" w:hAnsi="Arial" w:cs="Arial"/>
          <w:szCs w:val="22"/>
        </w:rPr>
        <w:t xml:space="preserve"> GA ČR</w:t>
      </w:r>
      <w:r w:rsidR="00C63FA6" w:rsidRPr="00C63FA6">
        <w:rPr>
          <w:rFonts w:ascii="Arial" w:hAnsi="Arial" w:cs="Arial"/>
          <w:szCs w:val="22"/>
        </w:rPr>
        <w:t xml:space="preserve"> přijímá závěry </w:t>
      </w:r>
      <w:r>
        <w:rPr>
          <w:rFonts w:ascii="Arial" w:hAnsi="Arial" w:cs="Arial"/>
          <w:szCs w:val="22"/>
        </w:rPr>
        <w:t>NKÚ</w:t>
      </w:r>
      <w:r w:rsidR="00C63FA6" w:rsidRPr="00C63FA6">
        <w:rPr>
          <w:rFonts w:ascii="Arial" w:hAnsi="Arial" w:cs="Arial"/>
          <w:szCs w:val="22"/>
        </w:rPr>
        <w:t xml:space="preserve"> jako důležitý a konstruktivní podnět pro další rozvoj své činnosti.</w:t>
      </w:r>
    </w:p>
    <w:p w14:paraId="15630782" w14:textId="77777777" w:rsidR="0057713F" w:rsidRDefault="0057713F" w:rsidP="001E1D3D">
      <w:pPr>
        <w:spacing w:after="120"/>
        <w:jc w:val="both"/>
        <w:rPr>
          <w:rFonts w:ascii="Arial" w:hAnsi="Arial" w:cs="Arial"/>
          <w:szCs w:val="22"/>
        </w:rPr>
      </w:pPr>
    </w:p>
    <w:p w14:paraId="626E5FAD" w14:textId="50D16699" w:rsidR="007E0D92" w:rsidRDefault="007E0D92" w:rsidP="000D29F5">
      <w:pPr>
        <w:pStyle w:val="Normalodsazen"/>
        <w:keepNext/>
        <w:numPr>
          <w:ilvl w:val="0"/>
          <w:numId w:val="21"/>
        </w:numPr>
        <w:spacing w:after="120" w:line="240" w:lineRule="auto"/>
        <w:ind w:left="1077" w:hanging="357"/>
        <w:rPr>
          <w:b/>
          <w:color w:val="0070C0"/>
          <w:sz w:val="24"/>
        </w:rPr>
      </w:pPr>
      <w:r>
        <w:rPr>
          <w:b/>
          <w:color w:val="0070C0"/>
          <w:sz w:val="24"/>
        </w:rPr>
        <w:t>Připomínky Rady</w:t>
      </w:r>
    </w:p>
    <w:p w14:paraId="57C63254" w14:textId="71E183B4" w:rsidR="007E0D92" w:rsidRDefault="0057713F" w:rsidP="001E1D3D">
      <w:pPr>
        <w:pStyle w:val="Normalodsazen"/>
        <w:keepNext/>
        <w:spacing w:after="120" w:line="240" w:lineRule="auto"/>
        <w:ind w:firstLine="0"/>
        <w:rPr>
          <w:rFonts w:eastAsia="Times New Roman"/>
          <w:sz w:val="24"/>
          <w:szCs w:val="22"/>
          <w:lang w:eastAsia="cs-CZ"/>
        </w:rPr>
      </w:pPr>
      <w:r w:rsidRPr="0057713F">
        <w:rPr>
          <w:rFonts w:eastAsia="Times New Roman"/>
          <w:sz w:val="24"/>
          <w:szCs w:val="22"/>
          <w:lang w:eastAsia="cs-CZ"/>
        </w:rPr>
        <w:t>Bez připomínek</w:t>
      </w:r>
      <w:r>
        <w:rPr>
          <w:rFonts w:eastAsia="Times New Roman"/>
          <w:sz w:val="24"/>
          <w:szCs w:val="22"/>
          <w:lang w:eastAsia="cs-CZ"/>
        </w:rPr>
        <w:t>.</w:t>
      </w:r>
    </w:p>
    <w:p w14:paraId="73867F35" w14:textId="77777777" w:rsidR="0057713F" w:rsidRPr="0057713F" w:rsidRDefault="0057713F" w:rsidP="001E1D3D">
      <w:pPr>
        <w:pStyle w:val="Normalodsazen"/>
        <w:keepNext/>
        <w:spacing w:after="120" w:line="240" w:lineRule="auto"/>
        <w:ind w:firstLine="0"/>
        <w:rPr>
          <w:rFonts w:eastAsia="Times New Roman"/>
          <w:sz w:val="24"/>
          <w:szCs w:val="22"/>
          <w:lang w:eastAsia="cs-CZ"/>
        </w:rPr>
      </w:pPr>
    </w:p>
    <w:p w14:paraId="6985B4BA" w14:textId="77777777" w:rsidR="00A251E5" w:rsidRPr="00FC7E67" w:rsidRDefault="00A251E5" w:rsidP="00FE7480">
      <w:pPr>
        <w:pStyle w:val="Normalodsazen"/>
        <w:keepNext/>
        <w:spacing w:after="120" w:line="240" w:lineRule="auto"/>
        <w:rPr>
          <w:b/>
          <w:color w:val="0070C0"/>
          <w:sz w:val="24"/>
        </w:rPr>
      </w:pPr>
      <w:r w:rsidRPr="00FC7E67">
        <w:rPr>
          <w:b/>
          <w:color w:val="0070C0"/>
          <w:sz w:val="24"/>
        </w:rPr>
        <w:t>Závěr</w:t>
      </w:r>
    </w:p>
    <w:p w14:paraId="7347C905" w14:textId="5915D631" w:rsidR="00874714" w:rsidRDefault="00FF704B" w:rsidP="00874714">
      <w:pPr>
        <w:pStyle w:val="Zkladntext2"/>
        <w:keepNext/>
        <w:spacing w:after="120"/>
        <w:jc w:val="both"/>
        <w:rPr>
          <w:rFonts w:ascii="Arial" w:hAnsi="Arial" w:cs="Arial"/>
          <w:szCs w:val="22"/>
        </w:rPr>
      </w:pPr>
      <w:r w:rsidRPr="00FC7E67">
        <w:rPr>
          <w:rFonts w:ascii="Arial" w:hAnsi="Arial" w:cs="Arial"/>
          <w:szCs w:val="24"/>
        </w:rPr>
        <w:t xml:space="preserve">Rada </w:t>
      </w:r>
      <w:r w:rsidR="00874714">
        <w:rPr>
          <w:rFonts w:ascii="Arial" w:hAnsi="Arial" w:cs="Arial"/>
          <w:szCs w:val="24"/>
        </w:rPr>
        <w:t xml:space="preserve">nemá připomínky k předloženému </w:t>
      </w:r>
      <w:r w:rsidR="00055FCE" w:rsidRPr="00055FCE">
        <w:rPr>
          <w:rFonts w:ascii="Arial" w:hAnsi="Arial" w:cs="Arial"/>
          <w:szCs w:val="22"/>
        </w:rPr>
        <w:t>Společnému stanovisku Grantové agentury České republiky a Technologické agentury České republiky ve věci Kontrolního závěru Nejvyššího kontrolního úřadu „Peněžní prostředky určené na účelovou podporu výzkumu, vývoje a inovací prostřednictvím rozpočtových kapitol Grantová agentura České republiky a Technologická agentura České republiky“</w:t>
      </w:r>
      <w:r w:rsidR="004B1F30">
        <w:rPr>
          <w:rFonts w:ascii="Arial" w:hAnsi="Arial" w:cs="Arial"/>
          <w:szCs w:val="22"/>
        </w:rPr>
        <w:t>.</w:t>
      </w:r>
    </w:p>
    <w:p w14:paraId="2B3FAF20" w14:textId="77777777" w:rsidR="00874714" w:rsidRPr="00874714" w:rsidRDefault="00874714" w:rsidP="00874714">
      <w:pPr>
        <w:pStyle w:val="Zkladntext2"/>
        <w:keepNext/>
        <w:spacing w:after="120"/>
        <w:jc w:val="both"/>
        <w:rPr>
          <w:rFonts w:ascii="Arial" w:hAnsi="Arial" w:cs="Arial"/>
          <w:szCs w:val="24"/>
        </w:rPr>
      </w:pPr>
    </w:p>
    <w:p w14:paraId="258A11E1" w14:textId="4FAFCFF0" w:rsidR="00FF704B" w:rsidRPr="00FC7E67" w:rsidRDefault="00FF704B" w:rsidP="000D29F5">
      <w:pPr>
        <w:pStyle w:val="Zkladntext2"/>
        <w:spacing w:after="120"/>
        <w:jc w:val="both"/>
        <w:rPr>
          <w:rFonts w:ascii="Arial" w:hAnsi="Arial" w:cs="Arial"/>
          <w:szCs w:val="24"/>
        </w:rPr>
      </w:pPr>
      <w:r w:rsidRPr="00FC7E67">
        <w:rPr>
          <w:rFonts w:ascii="Arial" w:hAnsi="Arial" w:cs="Arial"/>
        </w:rPr>
        <w:t xml:space="preserve">Praha </w:t>
      </w:r>
      <w:r w:rsidR="00874714">
        <w:rPr>
          <w:rFonts w:ascii="Arial" w:hAnsi="Arial" w:cs="Arial"/>
        </w:rPr>
        <w:t xml:space="preserve">dne </w:t>
      </w:r>
      <w:r w:rsidR="002639DA">
        <w:rPr>
          <w:rFonts w:ascii="Arial" w:hAnsi="Arial" w:cs="Arial"/>
        </w:rPr>
        <w:t>24</w:t>
      </w:r>
      <w:r w:rsidR="004B1F30">
        <w:rPr>
          <w:rFonts w:ascii="Arial" w:hAnsi="Arial" w:cs="Arial"/>
        </w:rPr>
        <w:t>. října 2025</w:t>
      </w:r>
    </w:p>
    <w:sectPr w:rsidR="00FF704B" w:rsidRPr="00FC7E67" w:rsidSect="00331372">
      <w:headerReference w:type="default" r:id="rId8"/>
      <w:footerReference w:type="default" r:id="rId9"/>
      <w:headerReference w:type="first" r:id="rId10"/>
      <w:footerReference w:type="first" r:id="rId11"/>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A8BBF" w14:textId="77777777" w:rsidR="00973C92" w:rsidRDefault="00973C92" w:rsidP="008F77F6">
      <w:r>
        <w:separator/>
      </w:r>
    </w:p>
  </w:endnote>
  <w:endnote w:type="continuationSeparator" w:id="0">
    <w:p w14:paraId="04B4057B" w14:textId="77777777" w:rsidR="00973C92" w:rsidRDefault="00973C92" w:rsidP="008F77F6">
      <w:r>
        <w:continuationSeparator/>
      </w:r>
    </w:p>
  </w:endnote>
  <w:endnote w:type="continuationNotice" w:id="1">
    <w:p w14:paraId="67EA63E7" w14:textId="77777777" w:rsidR="00973C92" w:rsidRDefault="00973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E5694" w14:textId="2E158493" w:rsidR="00355E9D" w:rsidRPr="00CC370F" w:rsidRDefault="002639DA" w:rsidP="0084647B">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355E9D" w:rsidRPr="00CC370F">
          <w:rPr>
            <w:rFonts w:ascii="Arial" w:hAnsi="Arial" w:cs="Arial"/>
            <w:sz w:val="18"/>
            <w:szCs w:val="18"/>
          </w:rPr>
          <w:fldChar w:fldCharType="begin"/>
        </w:r>
        <w:r w:rsidR="00355E9D" w:rsidRPr="00CC370F">
          <w:rPr>
            <w:rFonts w:ascii="Arial" w:hAnsi="Arial" w:cs="Arial"/>
            <w:sz w:val="18"/>
            <w:szCs w:val="18"/>
          </w:rPr>
          <w:instrText>PAGE   \* MERGEFORMAT</w:instrText>
        </w:r>
        <w:r w:rsidR="00355E9D" w:rsidRPr="00CC370F">
          <w:rPr>
            <w:rFonts w:ascii="Arial" w:hAnsi="Arial" w:cs="Arial"/>
            <w:sz w:val="18"/>
            <w:szCs w:val="18"/>
          </w:rPr>
          <w:fldChar w:fldCharType="separate"/>
        </w:r>
        <w:r w:rsidR="0057713F">
          <w:rPr>
            <w:rFonts w:ascii="Arial" w:hAnsi="Arial" w:cs="Arial"/>
            <w:noProof/>
            <w:sz w:val="18"/>
            <w:szCs w:val="18"/>
          </w:rPr>
          <w:t>7</w:t>
        </w:r>
        <w:r w:rsidR="00355E9D" w:rsidRPr="00CC370F">
          <w:rPr>
            <w:rFonts w:ascii="Arial" w:hAnsi="Arial" w:cs="Arial"/>
            <w:sz w:val="18"/>
            <w:szCs w:val="18"/>
          </w:rPr>
          <w:fldChar w:fldCharType="end"/>
        </w:r>
        <w:r w:rsidR="00355E9D" w:rsidRPr="00CC370F">
          <w:rPr>
            <w:rFonts w:ascii="Arial" w:hAnsi="Arial" w:cs="Arial"/>
            <w:sz w:val="18"/>
            <w:szCs w:val="18"/>
          </w:rPr>
          <w:t xml:space="preserve"> / </w:t>
        </w:r>
        <w:r w:rsidR="00355E9D" w:rsidRPr="00CC370F">
          <w:rPr>
            <w:rFonts w:ascii="Arial" w:hAnsi="Arial" w:cs="Arial"/>
            <w:sz w:val="18"/>
            <w:szCs w:val="18"/>
          </w:rPr>
          <w:fldChar w:fldCharType="begin"/>
        </w:r>
        <w:r w:rsidR="00355E9D" w:rsidRPr="00CC370F">
          <w:rPr>
            <w:rFonts w:ascii="Arial" w:hAnsi="Arial" w:cs="Arial"/>
            <w:sz w:val="18"/>
            <w:szCs w:val="18"/>
          </w:rPr>
          <w:instrText xml:space="preserve"> NUMPAGES   \* MERGEFORMAT </w:instrText>
        </w:r>
        <w:r w:rsidR="00355E9D" w:rsidRPr="00CC370F">
          <w:rPr>
            <w:rFonts w:ascii="Arial" w:hAnsi="Arial" w:cs="Arial"/>
            <w:sz w:val="18"/>
            <w:szCs w:val="18"/>
          </w:rPr>
          <w:fldChar w:fldCharType="separate"/>
        </w:r>
        <w:r w:rsidR="0057713F">
          <w:rPr>
            <w:rFonts w:ascii="Arial" w:hAnsi="Arial" w:cs="Arial"/>
            <w:noProof/>
            <w:sz w:val="18"/>
            <w:szCs w:val="18"/>
          </w:rPr>
          <w:t>7</w:t>
        </w:r>
        <w:r w:rsidR="00355E9D"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p w14:paraId="094AC8C6" w14:textId="35DA0647"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8091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8091F">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3FC40" w14:textId="77777777" w:rsidR="00973C92" w:rsidRDefault="00973C92" w:rsidP="008F77F6">
      <w:r>
        <w:separator/>
      </w:r>
    </w:p>
  </w:footnote>
  <w:footnote w:type="continuationSeparator" w:id="0">
    <w:p w14:paraId="233C0397" w14:textId="77777777" w:rsidR="00973C92" w:rsidRDefault="00973C92" w:rsidP="008F77F6">
      <w:r>
        <w:continuationSeparator/>
      </w:r>
    </w:p>
  </w:footnote>
  <w:footnote w:type="continuationNotice" w:id="1">
    <w:p w14:paraId="6B96E3B8" w14:textId="77777777" w:rsidR="00973C92" w:rsidRDefault="00973C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0B184F" w14:paraId="11792CB0" w14:textId="77777777" w:rsidTr="000B184F">
      <w:trPr>
        <w:trHeight w:val="686"/>
      </w:trPr>
      <w:tc>
        <w:tcPr>
          <w:tcW w:w="8188" w:type="dxa"/>
          <w:tcBorders>
            <w:top w:val="nil"/>
            <w:left w:val="nil"/>
            <w:bottom w:val="nil"/>
            <w:right w:val="single" w:sz="6" w:space="0" w:color="auto"/>
          </w:tcBorders>
          <w:vAlign w:val="center"/>
        </w:tcPr>
        <w:p w14:paraId="39990793" w14:textId="77777777" w:rsidR="000B184F" w:rsidRPr="009758E5" w:rsidRDefault="000B184F" w:rsidP="000B184F">
          <w:pPr>
            <w:pStyle w:val="Zhlav"/>
            <w:rPr>
              <w:rFonts w:ascii="Arial" w:hAnsi="Arial" w:cs="Arial"/>
              <w:b/>
              <w:color w:val="0B38B5"/>
            </w:rPr>
          </w:pPr>
          <w:r>
            <w:rPr>
              <w:noProof/>
            </w:rPr>
            <w:drawing>
              <wp:anchor distT="152400" distB="152400" distL="152400" distR="152400" simplePos="0" relativeHeight="251667456" behindDoc="1" locked="1" layoutInCell="1" allowOverlap="0" wp14:anchorId="70B41FD2" wp14:editId="4935AADB">
                <wp:simplePos x="0" y="0"/>
                <wp:positionH relativeFrom="page">
                  <wp:posOffset>53340</wp:posOffset>
                </wp:positionH>
                <wp:positionV relativeFrom="page">
                  <wp:posOffset>-149225</wp:posOffset>
                </wp:positionV>
                <wp:extent cx="1962150" cy="575945"/>
                <wp:effectExtent l="0" t="0" r="0" b="0"/>
                <wp:wrapNone/>
                <wp:docPr id="859719384"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vložený-obráze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3EC472E9" w14:textId="1D9E01D4" w:rsidR="000B184F" w:rsidRPr="003C2A8E" w:rsidRDefault="000B184F" w:rsidP="000B184F">
          <w:pPr>
            <w:pStyle w:val="Zhlav"/>
            <w:jc w:val="center"/>
            <w:rPr>
              <w:rFonts w:ascii="Arial" w:hAnsi="Arial" w:cs="Arial"/>
              <w:b/>
              <w:color w:val="0070C0"/>
              <w:sz w:val="28"/>
              <w:szCs w:val="28"/>
            </w:rPr>
          </w:pPr>
          <w:r>
            <w:rPr>
              <w:rFonts w:ascii="Arial" w:hAnsi="Arial" w:cs="Arial"/>
              <w:b/>
              <w:color w:val="0070C0"/>
              <w:sz w:val="28"/>
              <w:szCs w:val="28"/>
            </w:rPr>
            <w:t>415/A</w:t>
          </w:r>
          <w:r w:rsidR="00D40C12">
            <w:rPr>
              <w:rFonts w:ascii="Arial" w:hAnsi="Arial" w:cs="Arial"/>
              <w:b/>
              <w:color w:val="0070C0"/>
              <w:sz w:val="28"/>
              <w:szCs w:val="28"/>
            </w:rPr>
            <w:t>2</w:t>
          </w:r>
        </w:p>
      </w:tc>
    </w:tr>
    <w:tr w:rsidR="00355E9D" w14:paraId="5494C71A" w14:textId="77777777" w:rsidTr="000B184F">
      <w:trPr>
        <w:gridAfter w:val="1"/>
        <w:wAfter w:w="1559" w:type="dxa"/>
        <w:trHeight w:val="686"/>
      </w:trPr>
      <w:tc>
        <w:tcPr>
          <w:tcW w:w="8188" w:type="dxa"/>
          <w:tcBorders>
            <w:top w:val="nil"/>
            <w:left w:val="nil"/>
            <w:bottom w:val="nil"/>
            <w:right w:val="nil"/>
          </w:tcBorders>
          <w:vAlign w:val="center"/>
        </w:tcPr>
        <w:p w14:paraId="16870342" w14:textId="2AE87F3B" w:rsidR="00355E9D" w:rsidRPr="009758E5" w:rsidRDefault="00355E9D" w:rsidP="00F97C83">
          <w:pPr>
            <w:pStyle w:val="Zhlav"/>
            <w:rPr>
              <w:rFonts w:ascii="Arial" w:hAnsi="Arial" w:cs="Arial"/>
              <w:b/>
              <w:color w:val="0B38B5"/>
            </w:rPr>
          </w:pPr>
        </w:p>
      </w:tc>
    </w:tr>
  </w:tbl>
  <w:p w14:paraId="6AA71F43" w14:textId="77777777"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502541FD" w:rsidR="00355E9D" w:rsidRPr="009758E5" w:rsidRDefault="000225E7" w:rsidP="000225E7">
          <w:pPr>
            <w:pStyle w:val="Zhlav"/>
            <w:rPr>
              <w:rFonts w:ascii="Arial" w:hAnsi="Arial" w:cs="Arial"/>
              <w:b/>
              <w:color w:val="0B38B5"/>
            </w:rPr>
          </w:pPr>
          <w:r>
            <w:rPr>
              <w:noProof/>
            </w:rPr>
            <w:drawing>
              <wp:anchor distT="152400" distB="152400" distL="152400" distR="152400" simplePos="0" relativeHeight="251665408" behindDoc="1" locked="1" layoutInCell="1" allowOverlap="0" wp14:anchorId="20BEFA6E" wp14:editId="059B109B">
                <wp:simplePos x="0" y="0"/>
                <wp:positionH relativeFrom="page">
                  <wp:posOffset>53340</wp:posOffset>
                </wp:positionH>
                <wp:positionV relativeFrom="page">
                  <wp:posOffset>-149225</wp:posOffset>
                </wp:positionV>
                <wp:extent cx="1962150" cy="575945"/>
                <wp:effectExtent l="0" t="0" r="0" b="0"/>
                <wp:wrapNone/>
                <wp:docPr id="76962186"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vložený-obráze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047450AF" w:rsidR="000817F1" w:rsidRPr="003C2A8E" w:rsidRDefault="000225E7" w:rsidP="000817F1">
          <w:pPr>
            <w:pStyle w:val="Zhlav"/>
            <w:jc w:val="center"/>
            <w:rPr>
              <w:rFonts w:ascii="Arial" w:hAnsi="Arial" w:cs="Arial"/>
              <w:b/>
              <w:color w:val="0070C0"/>
              <w:sz w:val="28"/>
              <w:szCs w:val="28"/>
            </w:rPr>
          </w:pPr>
          <w:r>
            <w:rPr>
              <w:rFonts w:ascii="Arial" w:hAnsi="Arial" w:cs="Arial"/>
              <w:b/>
              <w:color w:val="0070C0"/>
              <w:sz w:val="28"/>
              <w:szCs w:val="28"/>
            </w:rPr>
            <w:t>415</w:t>
          </w:r>
          <w:r w:rsidR="00355E9D">
            <w:rPr>
              <w:rFonts w:ascii="Arial" w:hAnsi="Arial" w:cs="Arial"/>
              <w:b/>
              <w:color w:val="0070C0"/>
              <w:sz w:val="28"/>
              <w:szCs w:val="28"/>
            </w:rPr>
            <w:t>/A</w:t>
          </w:r>
          <w:r w:rsidR="00D40C12">
            <w:rPr>
              <w:rFonts w:ascii="Arial" w:hAnsi="Arial" w:cs="Arial"/>
              <w:b/>
              <w:color w:val="0070C0"/>
              <w:sz w:val="28"/>
              <w:szCs w:val="28"/>
            </w:rPr>
            <w:t>2</w:t>
          </w:r>
        </w:p>
      </w:tc>
    </w:tr>
  </w:tbl>
  <w:p w14:paraId="02BEF8B4" w14:textId="77777777"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6F309E"/>
    <w:multiLevelType w:val="hybridMultilevel"/>
    <w:tmpl w:val="81343948"/>
    <w:lvl w:ilvl="0" w:tplc="F1280F20">
      <w:start w:val="1"/>
      <w:numFmt w:val="decimal"/>
      <w:lvlText w:val="A%1)"/>
      <w:lvlJc w:val="left"/>
      <w:pPr>
        <w:tabs>
          <w:tab w:val="num" w:pos="1779"/>
        </w:tabs>
        <w:ind w:left="1779" w:hanging="360"/>
      </w:pPr>
      <w:rPr>
        <w:rFonts w:hint="default"/>
        <w:b/>
        <w:i w:val="0"/>
        <w:sz w:val="22"/>
        <w:szCs w:val="22"/>
      </w:rPr>
    </w:lvl>
    <w:lvl w:ilvl="1" w:tplc="6CA0C894">
      <w:start w:val="1"/>
      <w:numFmt w:val="lowerLetter"/>
      <w:lvlText w:val="%2)"/>
      <w:lvlJc w:val="left"/>
      <w:pPr>
        <w:tabs>
          <w:tab w:val="num" w:pos="900"/>
        </w:tabs>
        <w:ind w:left="900" w:hanging="360"/>
      </w:pPr>
      <w:rPr>
        <w:rFonts w:hint="default"/>
        <w:b/>
        <w:i w:val="0"/>
        <w:sz w:val="22"/>
        <w:szCs w:val="22"/>
      </w:r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6"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5B1B8A"/>
    <w:multiLevelType w:val="hybridMultilevel"/>
    <w:tmpl w:val="B546DB58"/>
    <w:lvl w:ilvl="0" w:tplc="2B48B26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73671086"/>
    <w:multiLevelType w:val="multilevel"/>
    <w:tmpl w:val="76C84B24"/>
    <w:numStyleLink w:val="StylI-aa"/>
  </w:abstractNum>
  <w:abstractNum w:abstractNumId="29"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6696403">
    <w:abstractNumId w:val="3"/>
  </w:num>
  <w:num w:numId="2" w16cid:durableId="73284985">
    <w:abstractNumId w:val="32"/>
  </w:num>
  <w:num w:numId="3" w16cid:durableId="1333603211">
    <w:abstractNumId w:val="13"/>
  </w:num>
  <w:num w:numId="4" w16cid:durableId="1290163174">
    <w:abstractNumId w:val="14"/>
  </w:num>
  <w:num w:numId="5" w16cid:durableId="1278441582">
    <w:abstractNumId w:val="22"/>
  </w:num>
  <w:num w:numId="6" w16cid:durableId="2145540190">
    <w:abstractNumId w:val="28"/>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16cid:durableId="1740857157">
    <w:abstractNumId w:val="19"/>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399405157">
    <w:abstractNumId w:val="19"/>
  </w:num>
  <w:num w:numId="9" w16cid:durableId="3608614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0166099">
    <w:abstractNumId w:val="27"/>
  </w:num>
  <w:num w:numId="11" w16cid:durableId="1802847403">
    <w:abstractNumId w:val="0"/>
  </w:num>
  <w:num w:numId="12" w16cid:durableId="465125030">
    <w:abstractNumId w:val="10"/>
  </w:num>
  <w:num w:numId="13" w16cid:durableId="1607733017">
    <w:abstractNumId w:val="23"/>
  </w:num>
  <w:num w:numId="14" w16cid:durableId="771359671">
    <w:abstractNumId w:val="12"/>
  </w:num>
  <w:num w:numId="15" w16cid:durableId="1102724274">
    <w:abstractNumId w:val="6"/>
  </w:num>
  <w:num w:numId="16" w16cid:durableId="1577936129">
    <w:abstractNumId w:val="18"/>
  </w:num>
  <w:num w:numId="17" w16cid:durableId="574898750">
    <w:abstractNumId w:val="29"/>
  </w:num>
  <w:num w:numId="18" w16cid:durableId="1777092784">
    <w:abstractNumId w:val="1"/>
  </w:num>
  <w:num w:numId="19" w16cid:durableId="646665386">
    <w:abstractNumId w:val="30"/>
  </w:num>
  <w:num w:numId="20" w16cid:durableId="1763262753">
    <w:abstractNumId w:val="11"/>
  </w:num>
  <w:num w:numId="21" w16cid:durableId="1114598361">
    <w:abstractNumId w:val="7"/>
  </w:num>
  <w:num w:numId="22" w16cid:durableId="1556308112">
    <w:abstractNumId w:val="8"/>
  </w:num>
  <w:num w:numId="23" w16cid:durableId="503327223">
    <w:abstractNumId w:val="17"/>
  </w:num>
  <w:num w:numId="24" w16cid:durableId="850265146">
    <w:abstractNumId w:val="24"/>
  </w:num>
  <w:num w:numId="25" w16cid:durableId="210575525">
    <w:abstractNumId w:val="9"/>
  </w:num>
  <w:num w:numId="26" w16cid:durableId="323364278">
    <w:abstractNumId w:val="15"/>
  </w:num>
  <w:num w:numId="27" w16cid:durableId="832452324">
    <w:abstractNumId w:val="2"/>
  </w:num>
  <w:num w:numId="28" w16cid:durableId="1952322661">
    <w:abstractNumId w:val="16"/>
  </w:num>
  <w:num w:numId="29" w16cid:durableId="2074232121">
    <w:abstractNumId w:val="4"/>
  </w:num>
  <w:num w:numId="30" w16cid:durableId="663779031">
    <w:abstractNumId w:val="20"/>
  </w:num>
  <w:num w:numId="31" w16cid:durableId="1535927826">
    <w:abstractNumId w:val="26"/>
  </w:num>
  <w:num w:numId="32" w16cid:durableId="218594954">
    <w:abstractNumId w:val="21"/>
  </w:num>
  <w:num w:numId="33" w16cid:durableId="124931050">
    <w:abstractNumId w:val="5"/>
  </w:num>
  <w:num w:numId="34" w16cid:durableId="1393776621">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1663"/>
    <w:rsid w:val="00001AA2"/>
    <w:rsid w:val="00006623"/>
    <w:rsid w:val="00007D92"/>
    <w:rsid w:val="000161F8"/>
    <w:rsid w:val="00016583"/>
    <w:rsid w:val="00017DBD"/>
    <w:rsid w:val="000225E7"/>
    <w:rsid w:val="00023200"/>
    <w:rsid w:val="0002675F"/>
    <w:rsid w:val="0003465D"/>
    <w:rsid w:val="00036AA3"/>
    <w:rsid w:val="00040D44"/>
    <w:rsid w:val="00046944"/>
    <w:rsid w:val="000556E4"/>
    <w:rsid w:val="00055FCE"/>
    <w:rsid w:val="00060C37"/>
    <w:rsid w:val="00062AE1"/>
    <w:rsid w:val="00063E76"/>
    <w:rsid w:val="00064AF4"/>
    <w:rsid w:val="00066C45"/>
    <w:rsid w:val="00066FCC"/>
    <w:rsid w:val="00073C1D"/>
    <w:rsid w:val="000754A0"/>
    <w:rsid w:val="00076764"/>
    <w:rsid w:val="000817F1"/>
    <w:rsid w:val="000879D3"/>
    <w:rsid w:val="000903FC"/>
    <w:rsid w:val="00090D61"/>
    <w:rsid w:val="00091624"/>
    <w:rsid w:val="00091C65"/>
    <w:rsid w:val="00091DF6"/>
    <w:rsid w:val="000A193C"/>
    <w:rsid w:val="000A1C00"/>
    <w:rsid w:val="000B0156"/>
    <w:rsid w:val="000B184F"/>
    <w:rsid w:val="000B19B3"/>
    <w:rsid w:val="000B4308"/>
    <w:rsid w:val="000C1639"/>
    <w:rsid w:val="000C4A33"/>
    <w:rsid w:val="000C616B"/>
    <w:rsid w:val="000C6F80"/>
    <w:rsid w:val="000D24AC"/>
    <w:rsid w:val="000D29F5"/>
    <w:rsid w:val="000E04BA"/>
    <w:rsid w:val="000E131B"/>
    <w:rsid w:val="000E4608"/>
    <w:rsid w:val="00107E37"/>
    <w:rsid w:val="00110E4F"/>
    <w:rsid w:val="0011334F"/>
    <w:rsid w:val="001355AD"/>
    <w:rsid w:val="0014093A"/>
    <w:rsid w:val="0014317A"/>
    <w:rsid w:val="00143B5C"/>
    <w:rsid w:val="00151EB4"/>
    <w:rsid w:val="00153BD8"/>
    <w:rsid w:val="001559EF"/>
    <w:rsid w:val="0016439D"/>
    <w:rsid w:val="00167763"/>
    <w:rsid w:val="0017168B"/>
    <w:rsid w:val="0019343C"/>
    <w:rsid w:val="001958D0"/>
    <w:rsid w:val="001958DC"/>
    <w:rsid w:val="00196CB2"/>
    <w:rsid w:val="001976BD"/>
    <w:rsid w:val="00197E58"/>
    <w:rsid w:val="001A1676"/>
    <w:rsid w:val="001B2F84"/>
    <w:rsid w:val="001C2A57"/>
    <w:rsid w:val="001D4CCF"/>
    <w:rsid w:val="001D537E"/>
    <w:rsid w:val="001E1D3D"/>
    <w:rsid w:val="001E2536"/>
    <w:rsid w:val="001E62D8"/>
    <w:rsid w:val="00201A4E"/>
    <w:rsid w:val="0020370B"/>
    <w:rsid w:val="00204D21"/>
    <w:rsid w:val="00210B42"/>
    <w:rsid w:val="002211DE"/>
    <w:rsid w:val="0022328A"/>
    <w:rsid w:val="00232E5C"/>
    <w:rsid w:val="00235282"/>
    <w:rsid w:val="00237006"/>
    <w:rsid w:val="002412B0"/>
    <w:rsid w:val="002604CB"/>
    <w:rsid w:val="0026232B"/>
    <w:rsid w:val="00262B9B"/>
    <w:rsid w:val="002639DA"/>
    <w:rsid w:val="00265521"/>
    <w:rsid w:val="00265A36"/>
    <w:rsid w:val="00267B73"/>
    <w:rsid w:val="00270AC1"/>
    <w:rsid w:val="00276BC0"/>
    <w:rsid w:val="0028093B"/>
    <w:rsid w:val="00291D69"/>
    <w:rsid w:val="002944D7"/>
    <w:rsid w:val="0029508B"/>
    <w:rsid w:val="00296261"/>
    <w:rsid w:val="002A06C3"/>
    <w:rsid w:val="002A1E92"/>
    <w:rsid w:val="002A470F"/>
    <w:rsid w:val="002A4801"/>
    <w:rsid w:val="002A68FE"/>
    <w:rsid w:val="002B35AB"/>
    <w:rsid w:val="002B3766"/>
    <w:rsid w:val="002B543E"/>
    <w:rsid w:val="002C0616"/>
    <w:rsid w:val="002D1D4B"/>
    <w:rsid w:val="002D2A6F"/>
    <w:rsid w:val="002D7614"/>
    <w:rsid w:val="002D76C6"/>
    <w:rsid w:val="002E0EB6"/>
    <w:rsid w:val="002E11DB"/>
    <w:rsid w:val="002E2591"/>
    <w:rsid w:val="002E43C5"/>
    <w:rsid w:val="002E4E01"/>
    <w:rsid w:val="002F13F7"/>
    <w:rsid w:val="002F4330"/>
    <w:rsid w:val="0030073F"/>
    <w:rsid w:val="0030694E"/>
    <w:rsid w:val="0031084C"/>
    <w:rsid w:val="0031520D"/>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7B05"/>
    <w:rsid w:val="00390DAA"/>
    <w:rsid w:val="00392A71"/>
    <w:rsid w:val="003A54F9"/>
    <w:rsid w:val="003B6354"/>
    <w:rsid w:val="003C2A8E"/>
    <w:rsid w:val="003D1434"/>
    <w:rsid w:val="003D5203"/>
    <w:rsid w:val="003E3504"/>
    <w:rsid w:val="003F38AF"/>
    <w:rsid w:val="003F47E6"/>
    <w:rsid w:val="003F757F"/>
    <w:rsid w:val="00405F84"/>
    <w:rsid w:val="00411664"/>
    <w:rsid w:val="00411CB5"/>
    <w:rsid w:val="00427918"/>
    <w:rsid w:val="00440FD2"/>
    <w:rsid w:val="0045384E"/>
    <w:rsid w:val="00454F6C"/>
    <w:rsid w:val="00463033"/>
    <w:rsid w:val="004747B5"/>
    <w:rsid w:val="00475BBA"/>
    <w:rsid w:val="00477136"/>
    <w:rsid w:val="004779C3"/>
    <w:rsid w:val="00482005"/>
    <w:rsid w:val="004907F7"/>
    <w:rsid w:val="00490F0D"/>
    <w:rsid w:val="00491F88"/>
    <w:rsid w:val="004A062C"/>
    <w:rsid w:val="004A5DA4"/>
    <w:rsid w:val="004A6C92"/>
    <w:rsid w:val="004B1B86"/>
    <w:rsid w:val="004B1F30"/>
    <w:rsid w:val="004B4802"/>
    <w:rsid w:val="004B7B72"/>
    <w:rsid w:val="004D17B3"/>
    <w:rsid w:val="004D5934"/>
    <w:rsid w:val="004D5A6B"/>
    <w:rsid w:val="004E06F9"/>
    <w:rsid w:val="004F3650"/>
    <w:rsid w:val="004F4AC4"/>
    <w:rsid w:val="00504DE3"/>
    <w:rsid w:val="00513D47"/>
    <w:rsid w:val="00514109"/>
    <w:rsid w:val="005169A7"/>
    <w:rsid w:val="005231B2"/>
    <w:rsid w:val="00526416"/>
    <w:rsid w:val="0053122B"/>
    <w:rsid w:val="00536DA1"/>
    <w:rsid w:val="00543A05"/>
    <w:rsid w:val="00550D45"/>
    <w:rsid w:val="00557739"/>
    <w:rsid w:val="00563BD3"/>
    <w:rsid w:val="00573079"/>
    <w:rsid w:val="005736AB"/>
    <w:rsid w:val="00574355"/>
    <w:rsid w:val="0057713F"/>
    <w:rsid w:val="005820B4"/>
    <w:rsid w:val="0059693D"/>
    <w:rsid w:val="005A2E79"/>
    <w:rsid w:val="005A4E69"/>
    <w:rsid w:val="005A4FFF"/>
    <w:rsid w:val="005A5563"/>
    <w:rsid w:val="005B6685"/>
    <w:rsid w:val="005B6BC7"/>
    <w:rsid w:val="005B79E0"/>
    <w:rsid w:val="005C1991"/>
    <w:rsid w:val="005C227B"/>
    <w:rsid w:val="005C39B0"/>
    <w:rsid w:val="005C7C7E"/>
    <w:rsid w:val="005D22E7"/>
    <w:rsid w:val="005D4147"/>
    <w:rsid w:val="005D6B8B"/>
    <w:rsid w:val="005D7F05"/>
    <w:rsid w:val="005E43C2"/>
    <w:rsid w:val="005F0C60"/>
    <w:rsid w:val="005F5928"/>
    <w:rsid w:val="00603A32"/>
    <w:rsid w:val="00603DDE"/>
    <w:rsid w:val="006052F9"/>
    <w:rsid w:val="00606321"/>
    <w:rsid w:val="006075E6"/>
    <w:rsid w:val="00616978"/>
    <w:rsid w:val="00624BBF"/>
    <w:rsid w:val="00637D93"/>
    <w:rsid w:val="00637DD5"/>
    <w:rsid w:val="00640B80"/>
    <w:rsid w:val="00650DA1"/>
    <w:rsid w:val="00661823"/>
    <w:rsid w:val="0067279E"/>
    <w:rsid w:val="00680FF8"/>
    <w:rsid w:val="0068427A"/>
    <w:rsid w:val="0068505E"/>
    <w:rsid w:val="0069070E"/>
    <w:rsid w:val="0069586C"/>
    <w:rsid w:val="006964D2"/>
    <w:rsid w:val="00697D8E"/>
    <w:rsid w:val="006B0319"/>
    <w:rsid w:val="006B6A25"/>
    <w:rsid w:val="006B7A0B"/>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55C98"/>
    <w:rsid w:val="0076550E"/>
    <w:rsid w:val="00771ECF"/>
    <w:rsid w:val="007726FF"/>
    <w:rsid w:val="0077648F"/>
    <w:rsid w:val="00776790"/>
    <w:rsid w:val="007769C3"/>
    <w:rsid w:val="00780422"/>
    <w:rsid w:val="0078058C"/>
    <w:rsid w:val="0078261A"/>
    <w:rsid w:val="00784BC3"/>
    <w:rsid w:val="007859A1"/>
    <w:rsid w:val="00786B51"/>
    <w:rsid w:val="0078750F"/>
    <w:rsid w:val="00787587"/>
    <w:rsid w:val="00791F6E"/>
    <w:rsid w:val="00793F74"/>
    <w:rsid w:val="007A03DC"/>
    <w:rsid w:val="007A6B5B"/>
    <w:rsid w:val="007B04D9"/>
    <w:rsid w:val="007B1C90"/>
    <w:rsid w:val="007B21E4"/>
    <w:rsid w:val="007B2FC7"/>
    <w:rsid w:val="007B4C3D"/>
    <w:rsid w:val="007B65A8"/>
    <w:rsid w:val="007C0EC3"/>
    <w:rsid w:val="007C2157"/>
    <w:rsid w:val="007D652A"/>
    <w:rsid w:val="007D7C0F"/>
    <w:rsid w:val="007E0D92"/>
    <w:rsid w:val="007E4301"/>
    <w:rsid w:val="007E6570"/>
    <w:rsid w:val="007F078D"/>
    <w:rsid w:val="007F5DD1"/>
    <w:rsid w:val="00803858"/>
    <w:rsid w:val="00810888"/>
    <w:rsid w:val="00810AA0"/>
    <w:rsid w:val="00816844"/>
    <w:rsid w:val="008175BD"/>
    <w:rsid w:val="008234D1"/>
    <w:rsid w:val="00832A97"/>
    <w:rsid w:val="00842480"/>
    <w:rsid w:val="00842BF5"/>
    <w:rsid w:val="0084647B"/>
    <w:rsid w:val="008666BF"/>
    <w:rsid w:val="00872597"/>
    <w:rsid w:val="00873853"/>
    <w:rsid w:val="00873E61"/>
    <w:rsid w:val="00874418"/>
    <w:rsid w:val="00874714"/>
    <w:rsid w:val="008873C0"/>
    <w:rsid w:val="00890531"/>
    <w:rsid w:val="00896357"/>
    <w:rsid w:val="008A0E39"/>
    <w:rsid w:val="008A76F7"/>
    <w:rsid w:val="008C48D1"/>
    <w:rsid w:val="008C5426"/>
    <w:rsid w:val="008D0383"/>
    <w:rsid w:val="008D18C9"/>
    <w:rsid w:val="008D2D30"/>
    <w:rsid w:val="008D4667"/>
    <w:rsid w:val="008E2DE9"/>
    <w:rsid w:val="008F18A5"/>
    <w:rsid w:val="008F1D04"/>
    <w:rsid w:val="008F4F96"/>
    <w:rsid w:val="008F530C"/>
    <w:rsid w:val="008F7463"/>
    <w:rsid w:val="008F77F6"/>
    <w:rsid w:val="0090164E"/>
    <w:rsid w:val="009065ED"/>
    <w:rsid w:val="00907065"/>
    <w:rsid w:val="00914E04"/>
    <w:rsid w:val="00926FB3"/>
    <w:rsid w:val="00934DE6"/>
    <w:rsid w:val="009464C4"/>
    <w:rsid w:val="00947AB6"/>
    <w:rsid w:val="0095024F"/>
    <w:rsid w:val="00951A16"/>
    <w:rsid w:val="00951E7F"/>
    <w:rsid w:val="00952BBC"/>
    <w:rsid w:val="009546E4"/>
    <w:rsid w:val="009621F0"/>
    <w:rsid w:val="00972810"/>
    <w:rsid w:val="00973115"/>
    <w:rsid w:val="00973C92"/>
    <w:rsid w:val="009758E5"/>
    <w:rsid w:val="00980EF3"/>
    <w:rsid w:val="00987147"/>
    <w:rsid w:val="00987288"/>
    <w:rsid w:val="00987E45"/>
    <w:rsid w:val="00990D92"/>
    <w:rsid w:val="00991C33"/>
    <w:rsid w:val="0099436E"/>
    <w:rsid w:val="009A0D19"/>
    <w:rsid w:val="009A23F9"/>
    <w:rsid w:val="009B6CEE"/>
    <w:rsid w:val="009C0DA6"/>
    <w:rsid w:val="009C2656"/>
    <w:rsid w:val="009C2E30"/>
    <w:rsid w:val="009C7E02"/>
    <w:rsid w:val="009D4A72"/>
    <w:rsid w:val="009E1B16"/>
    <w:rsid w:val="009E1FC9"/>
    <w:rsid w:val="009E61F0"/>
    <w:rsid w:val="009F47F2"/>
    <w:rsid w:val="00A20122"/>
    <w:rsid w:val="00A251E5"/>
    <w:rsid w:val="00A25F22"/>
    <w:rsid w:val="00A277A0"/>
    <w:rsid w:val="00A339E5"/>
    <w:rsid w:val="00A33F77"/>
    <w:rsid w:val="00A34068"/>
    <w:rsid w:val="00A42473"/>
    <w:rsid w:val="00A447C2"/>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399"/>
    <w:rsid w:val="00B3471F"/>
    <w:rsid w:val="00B45FDE"/>
    <w:rsid w:val="00B55C65"/>
    <w:rsid w:val="00B56910"/>
    <w:rsid w:val="00B601EF"/>
    <w:rsid w:val="00B619C2"/>
    <w:rsid w:val="00B664F5"/>
    <w:rsid w:val="00B7410A"/>
    <w:rsid w:val="00B8091F"/>
    <w:rsid w:val="00B84B26"/>
    <w:rsid w:val="00B94467"/>
    <w:rsid w:val="00B952E6"/>
    <w:rsid w:val="00B97146"/>
    <w:rsid w:val="00B97F77"/>
    <w:rsid w:val="00BA1D4E"/>
    <w:rsid w:val="00BA3FB1"/>
    <w:rsid w:val="00BB03E5"/>
    <w:rsid w:val="00BB3B56"/>
    <w:rsid w:val="00BC5205"/>
    <w:rsid w:val="00BC5922"/>
    <w:rsid w:val="00BD2828"/>
    <w:rsid w:val="00BD3D5D"/>
    <w:rsid w:val="00BD5E6B"/>
    <w:rsid w:val="00BD66D8"/>
    <w:rsid w:val="00BD6849"/>
    <w:rsid w:val="00BD6A56"/>
    <w:rsid w:val="00BD6B94"/>
    <w:rsid w:val="00BE0504"/>
    <w:rsid w:val="00BE202B"/>
    <w:rsid w:val="00BE2DDC"/>
    <w:rsid w:val="00BE2F8C"/>
    <w:rsid w:val="00BE2FA2"/>
    <w:rsid w:val="00BF0DD0"/>
    <w:rsid w:val="00C13BD3"/>
    <w:rsid w:val="00C15553"/>
    <w:rsid w:val="00C159CC"/>
    <w:rsid w:val="00C259C9"/>
    <w:rsid w:val="00C25A0A"/>
    <w:rsid w:val="00C26E56"/>
    <w:rsid w:val="00C4746A"/>
    <w:rsid w:val="00C5404C"/>
    <w:rsid w:val="00C5503A"/>
    <w:rsid w:val="00C62B77"/>
    <w:rsid w:val="00C63124"/>
    <w:rsid w:val="00C63FA6"/>
    <w:rsid w:val="00C9481A"/>
    <w:rsid w:val="00CA56DB"/>
    <w:rsid w:val="00CC0E76"/>
    <w:rsid w:val="00CC2A72"/>
    <w:rsid w:val="00CC370F"/>
    <w:rsid w:val="00CC5C6A"/>
    <w:rsid w:val="00CD3B4A"/>
    <w:rsid w:val="00CE18F3"/>
    <w:rsid w:val="00CF5D97"/>
    <w:rsid w:val="00D03844"/>
    <w:rsid w:val="00D1103B"/>
    <w:rsid w:val="00D112BD"/>
    <w:rsid w:val="00D27408"/>
    <w:rsid w:val="00D36217"/>
    <w:rsid w:val="00D36306"/>
    <w:rsid w:val="00D3726C"/>
    <w:rsid w:val="00D40C12"/>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DF5FA0"/>
    <w:rsid w:val="00DF7977"/>
    <w:rsid w:val="00E02C6B"/>
    <w:rsid w:val="00E042AE"/>
    <w:rsid w:val="00E10E61"/>
    <w:rsid w:val="00E111C0"/>
    <w:rsid w:val="00E34F50"/>
    <w:rsid w:val="00E37AC8"/>
    <w:rsid w:val="00E4196C"/>
    <w:rsid w:val="00E43459"/>
    <w:rsid w:val="00E43DFF"/>
    <w:rsid w:val="00E47D80"/>
    <w:rsid w:val="00E631AA"/>
    <w:rsid w:val="00E63C59"/>
    <w:rsid w:val="00E6489D"/>
    <w:rsid w:val="00E76533"/>
    <w:rsid w:val="00E76626"/>
    <w:rsid w:val="00E82C93"/>
    <w:rsid w:val="00E90863"/>
    <w:rsid w:val="00E91AAF"/>
    <w:rsid w:val="00E93E65"/>
    <w:rsid w:val="00E943EA"/>
    <w:rsid w:val="00E94E93"/>
    <w:rsid w:val="00E95804"/>
    <w:rsid w:val="00E96EEC"/>
    <w:rsid w:val="00EB064E"/>
    <w:rsid w:val="00EB2336"/>
    <w:rsid w:val="00EC2E7B"/>
    <w:rsid w:val="00EC3B82"/>
    <w:rsid w:val="00EC5C5C"/>
    <w:rsid w:val="00EC6B99"/>
    <w:rsid w:val="00EC7EF6"/>
    <w:rsid w:val="00ED0134"/>
    <w:rsid w:val="00ED4458"/>
    <w:rsid w:val="00EF221B"/>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C7E67"/>
    <w:rsid w:val="00FD0AAB"/>
    <w:rsid w:val="00FE3E9C"/>
    <w:rsid w:val="00FE6240"/>
    <w:rsid w:val="00FE7265"/>
    <w:rsid w:val="00FE7480"/>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E01A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 w:type="paragraph" w:customStyle="1" w:styleId="tvar">
    <w:name w:val="Útvar"/>
    <w:basedOn w:val="Normln"/>
    <w:link w:val="tvarChar"/>
    <w:uiPriority w:val="9"/>
    <w:qFormat/>
    <w:rsid w:val="000225E7"/>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0225E7"/>
    <w:rPr>
      <w:rFonts w:ascii="Arial" w:eastAsia="Arial" w:hAnsi="Arial" w:cs="Arial"/>
      <w:b/>
      <w:color w:val="161A48"/>
      <w:sz w:val="28"/>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DD2E3-D2A6-44A2-AED7-82E720BA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870</Words>
  <Characters>5134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Autor</cp:lastModifiedBy>
  <cp:revision>4</cp:revision>
  <cp:lastPrinted>2022-11-04T07:08:00Z</cp:lastPrinted>
  <dcterms:created xsi:type="dcterms:W3CDTF">2025-10-23T09:26:00Z</dcterms:created>
  <dcterms:modified xsi:type="dcterms:W3CDTF">2025-10-23T09:33:00Z</dcterms:modified>
</cp:coreProperties>
</file>